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B9" w:rsidRPr="00627BF0" w:rsidRDefault="001750B9" w:rsidP="00627BF0">
      <w:pPr>
        <w:jc w:val="both"/>
        <w:rPr>
          <w:rFonts w:asciiTheme="minorHAnsi" w:hAnsiTheme="minorHAnsi" w:cstheme="minorHAnsi"/>
        </w:rPr>
      </w:pPr>
      <w:r w:rsidRPr="00627BF0">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2085975</wp:posOffset>
            </wp:positionH>
            <wp:positionV relativeFrom="paragraph">
              <wp:posOffset>0</wp:posOffset>
            </wp:positionV>
            <wp:extent cx="914400" cy="649605"/>
            <wp:effectExtent l="0" t="0" r="0" b="0"/>
            <wp:wrapSquare wrapText="bothSides"/>
            <wp:docPr id="1" name="Picture 1" descr="cid:image003.jpg@01D54948.C8ACF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4948.C8ACF9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14400" cy="649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50B9" w:rsidRPr="00627BF0" w:rsidRDefault="001750B9" w:rsidP="00627BF0">
      <w:pPr>
        <w:jc w:val="both"/>
        <w:rPr>
          <w:rFonts w:asciiTheme="minorHAnsi" w:hAnsiTheme="minorHAnsi" w:cstheme="minorHAnsi"/>
          <w:noProof/>
          <w:lang w:val="fr-BE" w:eastAsia="fr-BE"/>
        </w:rPr>
      </w:pPr>
    </w:p>
    <w:p w:rsidR="001750B9" w:rsidRPr="00627BF0" w:rsidRDefault="001750B9" w:rsidP="00627BF0">
      <w:pPr>
        <w:jc w:val="both"/>
        <w:rPr>
          <w:rFonts w:asciiTheme="minorHAnsi" w:hAnsiTheme="minorHAnsi" w:cstheme="minorHAnsi"/>
          <w:b/>
          <w:lang w:val="fr-FR"/>
        </w:rPr>
      </w:pPr>
    </w:p>
    <w:p w:rsidR="001750B9" w:rsidRPr="00627BF0" w:rsidRDefault="001750B9" w:rsidP="00627BF0">
      <w:pPr>
        <w:jc w:val="both"/>
        <w:rPr>
          <w:rFonts w:asciiTheme="minorHAnsi" w:hAnsiTheme="minorHAnsi" w:cstheme="minorHAnsi"/>
          <w:b/>
          <w:sz w:val="24"/>
          <w:lang w:val="fr-FR"/>
        </w:rPr>
      </w:pPr>
      <w:r w:rsidRPr="00627BF0">
        <w:rPr>
          <w:rFonts w:asciiTheme="minorHAnsi" w:hAnsiTheme="minorHAnsi" w:cstheme="minorHAnsi"/>
          <w:b/>
          <w:sz w:val="24"/>
          <w:lang w:val="fr-FR"/>
        </w:rPr>
        <w:t>PRESENTATION SOMMAIRE DE L’ONG ACTION POUR LA PAIX ET LA CONCORDE, APC EN SIGLE</w:t>
      </w:r>
    </w:p>
    <w:p w:rsidR="001750B9" w:rsidRPr="00627BF0" w:rsidRDefault="001750B9" w:rsidP="00627BF0">
      <w:pPr>
        <w:pStyle w:val="7NormalMDM"/>
        <w:spacing w:line="276" w:lineRule="auto"/>
        <w:rPr>
          <w:rFonts w:asciiTheme="minorHAnsi" w:hAnsiTheme="minorHAnsi" w:cstheme="minorHAnsi"/>
          <w:color w:val="auto"/>
          <w:sz w:val="22"/>
          <w:szCs w:val="22"/>
        </w:rPr>
      </w:pPr>
      <w:r w:rsidRPr="00627BF0">
        <w:rPr>
          <w:rFonts w:asciiTheme="minorHAnsi" w:hAnsiTheme="minorHAnsi" w:cstheme="minorHAnsi"/>
          <w:b/>
          <w:bCs/>
          <w:color w:val="auto"/>
          <w:sz w:val="22"/>
          <w:szCs w:val="22"/>
        </w:rPr>
        <w:t xml:space="preserve">1. ACTION POUR LA PAIX ET LA CONCORDE, APC, </w:t>
      </w:r>
      <w:r w:rsidRPr="00627BF0">
        <w:rPr>
          <w:rFonts w:asciiTheme="minorHAnsi" w:hAnsiTheme="minorHAnsi" w:cstheme="minorHAnsi"/>
          <w:bCs/>
          <w:color w:val="auto"/>
          <w:sz w:val="22"/>
          <w:szCs w:val="22"/>
        </w:rPr>
        <w:t>est une organisation non gouvernementale de droit congolais dotée de la personnalité juridique conformément à</w:t>
      </w:r>
      <w:r w:rsidRPr="00627BF0">
        <w:rPr>
          <w:rFonts w:asciiTheme="minorHAnsi" w:hAnsiTheme="minorHAnsi" w:cstheme="minorHAnsi"/>
          <w:b/>
          <w:bCs/>
          <w:color w:val="auto"/>
          <w:sz w:val="22"/>
          <w:szCs w:val="22"/>
        </w:rPr>
        <w:t xml:space="preserve"> l’</w:t>
      </w:r>
      <w:r w:rsidRPr="00627BF0">
        <w:rPr>
          <w:rFonts w:asciiTheme="minorHAnsi" w:hAnsiTheme="minorHAnsi" w:cstheme="minorHAnsi"/>
          <w:b/>
          <w:bCs/>
          <w:color w:val="auto"/>
          <w:lang w:val="fr-BE"/>
        </w:rPr>
        <w:t>Arrêté Ministériel n° 194/KB/ME/MIN/J&amp;GS/2018 du 10 octobre 2018.</w:t>
      </w:r>
      <w:r w:rsidRPr="00627BF0">
        <w:rPr>
          <w:rFonts w:asciiTheme="minorHAnsi" w:hAnsiTheme="minorHAnsi" w:cstheme="minorHAnsi"/>
          <w:b/>
          <w:bCs/>
          <w:color w:val="auto"/>
          <w:sz w:val="22"/>
          <w:szCs w:val="22"/>
        </w:rPr>
        <w:t xml:space="preserve"> </w:t>
      </w:r>
      <w:r w:rsidR="005456DF" w:rsidRPr="00A47F57">
        <w:rPr>
          <w:rFonts w:asciiTheme="minorHAnsi" w:hAnsiTheme="minorHAnsi" w:cstheme="minorHAnsi"/>
          <w:sz w:val="24"/>
        </w:rPr>
        <w:t>Elle est aussi enregistrée au Ministère National du Plan par le Certificat d’enregistrement N°576/PL/DECRE/2024 du 2 février 2024.</w:t>
      </w:r>
      <w:r w:rsidR="005456DF">
        <w:rPr>
          <w:rFonts w:asciiTheme="minorHAnsi" w:hAnsiTheme="minorHAnsi" w:cstheme="minorHAnsi"/>
          <w:sz w:val="24"/>
        </w:rPr>
        <w:t xml:space="preserve"> APC </w:t>
      </w:r>
      <w:r w:rsidRPr="00627BF0">
        <w:rPr>
          <w:rFonts w:asciiTheme="minorHAnsi" w:hAnsiTheme="minorHAnsi" w:cstheme="minorHAnsi"/>
          <w:b/>
          <w:bCs/>
          <w:color w:val="auto"/>
          <w:sz w:val="22"/>
          <w:szCs w:val="22"/>
        </w:rPr>
        <w:t xml:space="preserve">a son siège national sur </w:t>
      </w:r>
      <w:r w:rsidRPr="00627BF0">
        <w:rPr>
          <w:rFonts w:asciiTheme="minorHAnsi" w:hAnsiTheme="minorHAnsi" w:cstheme="minorHAnsi"/>
          <w:color w:val="auto"/>
          <w:sz w:val="22"/>
          <w:szCs w:val="22"/>
        </w:rPr>
        <w:t xml:space="preserve">Avenue </w:t>
      </w:r>
      <w:proofErr w:type="spellStart"/>
      <w:r w:rsidRPr="00627BF0">
        <w:rPr>
          <w:rFonts w:asciiTheme="minorHAnsi" w:hAnsiTheme="minorHAnsi" w:cstheme="minorHAnsi"/>
          <w:color w:val="auto"/>
          <w:sz w:val="22"/>
          <w:szCs w:val="22"/>
        </w:rPr>
        <w:t>Kibombo</w:t>
      </w:r>
      <w:proofErr w:type="spellEnd"/>
      <w:r w:rsidRPr="00627BF0">
        <w:rPr>
          <w:rFonts w:asciiTheme="minorHAnsi" w:hAnsiTheme="minorHAnsi" w:cstheme="minorHAnsi"/>
          <w:color w:val="auto"/>
          <w:sz w:val="22"/>
          <w:szCs w:val="22"/>
        </w:rPr>
        <w:t xml:space="preserve"> N°13A, Quartier </w:t>
      </w:r>
      <w:proofErr w:type="spellStart"/>
      <w:r w:rsidRPr="00627BF0">
        <w:rPr>
          <w:rFonts w:asciiTheme="minorHAnsi" w:hAnsiTheme="minorHAnsi" w:cstheme="minorHAnsi"/>
          <w:color w:val="auto"/>
          <w:sz w:val="22"/>
          <w:szCs w:val="22"/>
        </w:rPr>
        <w:t>Ndendere</w:t>
      </w:r>
      <w:proofErr w:type="spellEnd"/>
      <w:r w:rsidRPr="00627BF0">
        <w:rPr>
          <w:rFonts w:asciiTheme="minorHAnsi" w:hAnsiTheme="minorHAnsi" w:cstheme="minorHAnsi"/>
          <w:color w:val="auto"/>
          <w:sz w:val="22"/>
          <w:szCs w:val="22"/>
        </w:rPr>
        <w:t>, Commune d’</w:t>
      </w:r>
      <w:proofErr w:type="spellStart"/>
      <w:r w:rsidRPr="00627BF0">
        <w:rPr>
          <w:rFonts w:asciiTheme="minorHAnsi" w:hAnsiTheme="minorHAnsi" w:cstheme="minorHAnsi"/>
          <w:color w:val="auto"/>
          <w:sz w:val="22"/>
          <w:szCs w:val="22"/>
        </w:rPr>
        <w:t>Ibanda</w:t>
      </w:r>
      <w:proofErr w:type="spellEnd"/>
      <w:r w:rsidRPr="00627BF0">
        <w:rPr>
          <w:rFonts w:asciiTheme="minorHAnsi" w:hAnsiTheme="minorHAnsi" w:cstheme="minorHAnsi"/>
          <w:color w:val="auto"/>
          <w:sz w:val="22"/>
          <w:szCs w:val="22"/>
        </w:rPr>
        <w:t>, Ville de Bukavu, Province Sud-Kivu en République Démocratique du Congo au 3ème et 4</w:t>
      </w:r>
      <w:r w:rsidRPr="00627BF0">
        <w:rPr>
          <w:rFonts w:asciiTheme="minorHAnsi" w:hAnsiTheme="minorHAnsi" w:cstheme="minorHAnsi"/>
          <w:color w:val="auto"/>
          <w:sz w:val="22"/>
          <w:szCs w:val="22"/>
          <w:vertAlign w:val="superscript"/>
        </w:rPr>
        <w:t>ème</w:t>
      </w:r>
      <w:r w:rsidRPr="00627BF0">
        <w:rPr>
          <w:rFonts w:asciiTheme="minorHAnsi" w:hAnsiTheme="minorHAnsi" w:cstheme="minorHAnsi"/>
          <w:color w:val="auto"/>
          <w:sz w:val="22"/>
          <w:szCs w:val="22"/>
        </w:rPr>
        <w:t xml:space="preserve"> appartements, dans l’Immeuble </w:t>
      </w:r>
      <w:proofErr w:type="spellStart"/>
      <w:r w:rsidRPr="00627BF0">
        <w:rPr>
          <w:rFonts w:asciiTheme="minorHAnsi" w:hAnsiTheme="minorHAnsi" w:cstheme="minorHAnsi"/>
          <w:color w:val="auto"/>
          <w:sz w:val="22"/>
          <w:szCs w:val="22"/>
        </w:rPr>
        <w:t>Bakanameso</w:t>
      </w:r>
      <w:proofErr w:type="spellEnd"/>
      <w:r w:rsidRPr="00627BF0">
        <w:rPr>
          <w:rFonts w:asciiTheme="minorHAnsi" w:hAnsiTheme="minorHAnsi" w:cstheme="minorHAnsi"/>
          <w:color w:val="auto"/>
          <w:sz w:val="22"/>
          <w:szCs w:val="22"/>
        </w:rPr>
        <w:t>.</w:t>
      </w:r>
    </w:p>
    <w:p w:rsidR="001750B9" w:rsidRPr="00627BF0" w:rsidRDefault="001750B9" w:rsidP="00627BF0">
      <w:pPr>
        <w:pStyle w:val="7NormalMDM"/>
        <w:spacing w:line="276" w:lineRule="auto"/>
        <w:rPr>
          <w:rFonts w:asciiTheme="minorHAnsi" w:hAnsiTheme="minorHAnsi" w:cstheme="minorHAnsi"/>
          <w:color w:val="auto"/>
          <w:sz w:val="22"/>
          <w:szCs w:val="22"/>
        </w:rPr>
      </w:pPr>
    </w:p>
    <w:p w:rsidR="001750B9" w:rsidRPr="00627BF0" w:rsidRDefault="001750B9" w:rsidP="00627BF0">
      <w:pPr>
        <w:autoSpaceDE w:val="0"/>
        <w:autoSpaceDN w:val="0"/>
        <w:adjustRightInd w:val="0"/>
        <w:jc w:val="both"/>
        <w:rPr>
          <w:rFonts w:asciiTheme="minorHAnsi" w:hAnsiTheme="minorHAnsi" w:cstheme="minorHAnsi"/>
          <w:lang w:val="fr-FR"/>
        </w:rPr>
      </w:pPr>
      <w:r w:rsidRPr="00627BF0">
        <w:rPr>
          <w:rFonts w:asciiTheme="minorHAnsi" w:hAnsiTheme="minorHAnsi" w:cstheme="minorHAnsi"/>
          <w:b/>
          <w:lang w:val="fr-FR"/>
        </w:rPr>
        <w:t xml:space="preserve">2. De la Vision, Mission et Objectifs : </w:t>
      </w:r>
      <w:r w:rsidRPr="00627BF0">
        <w:rPr>
          <w:rFonts w:asciiTheme="minorHAnsi" w:hAnsiTheme="minorHAnsi" w:cstheme="minorHAnsi"/>
          <w:lang w:val="fr-FR"/>
        </w:rPr>
        <w:t>APC veut une Afrique sans conflits communautaires violents. Sa mission est   l’accompagnement des acteurs dans la transformation positive de leurs conflits.</w:t>
      </w:r>
      <w:r w:rsidRPr="00627BF0">
        <w:rPr>
          <w:rFonts w:asciiTheme="minorHAnsi" w:hAnsiTheme="minorHAnsi" w:cstheme="minorHAnsi"/>
          <w:b/>
          <w:bCs/>
          <w:lang w:val="fr-FR"/>
        </w:rPr>
        <w:t xml:space="preserve"> </w:t>
      </w:r>
      <w:r w:rsidRPr="00627BF0">
        <w:rPr>
          <w:rFonts w:asciiTheme="minorHAnsi" w:hAnsiTheme="minorHAnsi" w:cstheme="minorHAnsi"/>
          <w:lang w:val="fr-FR"/>
        </w:rPr>
        <w:t>Elle entend ainsi contribuer à la promotion de la paix et la concorde entre communautés en conflit et au renforcement des capacités des acteurs impliqués dans la transformation des conflits et Promouvoir la bonne gouvernance.</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b/>
          <w:lang w:val="fr-FR"/>
        </w:rPr>
        <w:t>3. Des Domaines d’intervention :</w:t>
      </w:r>
      <w:r w:rsidRPr="00627BF0">
        <w:rPr>
          <w:rFonts w:asciiTheme="minorHAnsi" w:hAnsiTheme="minorHAnsi" w:cstheme="minorHAnsi"/>
          <w:lang w:val="fr-FR"/>
        </w:rPr>
        <w:t xml:space="preserve"> Ses domaines sont la </w:t>
      </w:r>
      <w:r w:rsidR="005456DF">
        <w:rPr>
          <w:rFonts w:asciiTheme="minorHAnsi" w:hAnsiTheme="minorHAnsi" w:cstheme="minorHAnsi"/>
          <w:lang w:val="fr-FR"/>
        </w:rPr>
        <w:t xml:space="preserve">Prévention et </w:t>
      </w:r>
      <w:r w:rsidRPr="00627BF0">
        <w:rPr>
          <w:rFonts w:asciiTheme="minorHAnsi" w:hAnsiTheme="minorHAnsi" w:cstheme="minorHAnsi"/>
          <w:lang w:val="fr-FR"/>
        </w:rPr>
        <w:t>Transformation de conflits, la Sécurité Humaine (Protection) et la Bonne Gouvernance.</w:t>
      </w: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b/>
          <w:lang w:val="fr-FR"/>
        </w:rPr>
        <w:t xml:space="preserve">4. De la Stratégie d’intervention : </w:t>
      </w:r>
      <w:r w:rsidRPr="00627BF0">
        <w:rPr>
          <w:rFonts w:asciiTheme="minorHAnsi" w:hAnsiTheme="minorHAnsi" w:cstheme="minorHAnsi"/>
          <w:lang w:val="fr-FR"/>
        </w:rPr>
        <w:t xml:space="preserve">La recherche, l’analyse des dynamiques conflictuelles étant au cœur du processus de transformation des conflits, APC a développé une approche réflexive : la Recherche Action Participative (RAP), qui permet de s’assurer de la partition de toutes les parties prenantes dans le processus de transformation des conflits. </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lang w:val="fr-FR"/>
        </w:rPr>
        <w:t>Pour être plus efficace dans la transformation des conflits communautaires violents et le processus de stabilisation des zones affectées par les conflits, APC développe, utilise et vulgarise différents outils.</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lang w:val="fr-FR"/>
        </w:rPr>
        <w:t xml:space="preserve"> </w:t>
      </w:r>
    </w:p>
    <w:p w:rsidR="001750B9" w:rsidRPr="00627BF0" w:rsidRDefault="008A1C99" w:rsidP="00627BF0">
      <w:pPr>
        <w:spacing w:after="0"/>
        <w:jc w:val="both"/>
        <w:rPr>
          <w:rFonts w:asciiTheme="minorHAnsi" w:hAnsiTheme="minorHAnsi" w:cstheme="minorHAnsi"/>
          <w:b/>
          <w:lang w:val="fr-FR"/>
        </w:rPr>
      </w:pPr>
      <w:r>
        <w:rPr>
          <w:rFonts w:asciiTheme="minorHAnsi" w:hAnsiTheme="minorHAnsi" w:cstheme="minorHAnsi"/>
          <w:b/>
          <w:lang w:val="fr-FR"/>
        </w:rPr>
        <w:t xml:space="preserve">5. Des outils mis en œuvre </w:t>
      </w:r>
      <w:r w:rsidR="001750B9" w:rsidRPr="00627BF0">
        <w:rPr>
          <w:rFonts w:asciiTheme="minorHAnsi" w:hAnsiTheme="minorHAnsi" w:cstheme="minorHAnsi"/>
          <w:b/>
          <w:lang w:val="fr-FR"/>
        </w:rPr>
        <w:t>par APC :</w:t>
      </w:r>
    </w:p>
    <w:p w:rsidR="001750B9" w:rsidRPr="00627BF0" w:rsidRDefault="001750B9" w:rsidP="00627BF0">
      <w:pPr>
        <w:spacing w:after="0"/>
        <w:jc w:val="both"/>
        <w:rPr>
          <w:rFonts w:asciiTheme="minorHAnsi" w:hAnsiTheme="minorHAnsi" w:cstheme="minorHAnsi"/>
          <w:b/>
          <w:lang w:val="fr-FR"/>
        </w:rPr>
      </w:pP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b/>
          <w:lang w:val="fr-FR"/>
        </w:rPr>
        <w:t>a) Les structures communautaires :</w:t>
      </w:r>
      <w:r w:rsidRPr="00627BF0">
        <w:rPr>
          <w:rFonts w:asciiTheme="minorHAnsi" w:hAnsiTheme="minorHAnsi" w:cstheme="minorHAnsi"/>
          <w:lang w:val="fr-FR"/>
        </w:rPr>
        <w:t xml:space="preserve"> Dans sa démarche de Prévention et de Transformation positive des Conflits à la base, APC collabore avec les communautés locales pour élaborer des mécanismes alternatifs de régulation non violentes des conflits. Le processus a abouti à la mise en place des structures communautaires </w:t>
      </w:r>
      <w:bookmarkStart w:id="0" w:name="_GoBack"/>
      <w:bookmarkEnd w:id="0"/>
      <w:r w:rsidRPr="00627BF0">
        <w:rPr>
          <w:rFonts w:asciiTheme="minorHAnsi" w:hAnsiTheme="minorHAnsi" w:cstheme="minorHAnsi"/>
          <w:lang w:val="fr-FR"/>
        </w:rPr>
        <w:t xml:space="preserve">dont le Cadre de Dialogue et de Médiation, CDM, les noyaux Jeunesse et Mamans Tujenge </w:t>
      </w:r>
      <w:proofErr w:type="spellStart"/>
      <w:r w:rsidRPr="00627BF0">
        <w:rPr>
          <w:rFonts w:asciiTheme="minorHAnsi" w:hAnsiTheme="minorHAnsi" w:cstheme="minorHAnsi"/>
          <w:lang w:val="fr-FR"/>
        </w:rPr>
        <w:t>Amani</w:t>
      </w:r>
      <w:proofErr w:type="spellEnd"/>
      <w:r w:rsidRPr="00627BF0">
        <w:rPr>
          <w:rFonts w:asciiTheme="minorHAnsi" w:hAnsiTheme="minorHAnsi" w:cstheme="minorHAnsi"/>
          <w:lang w:val="fr-FR"/>
        </w:rPr>
        <w:t xml:space="preserve"> ainsi que le Groupe de Dialogue Permanent(GDP).</w:t>
      </w:r>
      <w:r w:rsidRPr="00627BF0">
        <w:rPr>
          <w:rFonts w:asciiTheme="minorHAnsi" w:hAnsiTheme="minorHAnsi" w:cstheme="minorHAnsi"/>
          <w:b/>
          <w:lang w:val="fr-FR"/>
        </w:rPr>
        <w:t xml:space="preserve"> </w:t>
      </w:r>
      <w:r w:rsidRPr="00627BF0">
        <w:rPr>
          <w:rFonts w:asciiTheme="minorHAnsi" w:hAnsiTheme="minorHAnsi" w:cstheme="minorHAnsi"/>
          <w:lang w:val="fr-FR"/>
        </w:rPr>
        <w:t xml:space="preserve">Ce mécanisme s’inscrit dans le cadre du développement de la résilience des acteurs locaux afin d’être capables de prévenir et de réduire les violences communautaires. Pour que ces structures deviennent efficaces et de véritables outils dans le processus de transformation sociale, APC assure un accompagnement technique dont le renforcement </w:t>
      </w:r>
      <w:r w:rsidRPr="00627BF0">
        <w:rPr>
          <w:rFonts w:asciiTheme="minorHAnsi" w:hAnsiTheme="minorHAnsi" w:cstheme="minorHAnsi"/>
          <w:lang w:val="fr-FR"/>
        </w:rPr>
        <w:lastRenderedPageBreak/>
        <w:t>des capacités en différentes techniques de transformation des conflits et un appui logistique pour le fonctionnement de ces structures communautaires.</w:t>
      </w:r>
    </w:p>
    <w:p w:rsidR="001750B9" w:rsidRPr="00627BF0" w:rsidRDefault="001750B9" w:rsidP="00627BF0">
      <w:pPr>
        <w:spacing w:after="0"/>
        <w:jc w:val="both"/>
        <w:rPr>
          <w:rFonts w:asciiTheme="minorHAnsi" w:hAnsiTheme="minorHAnsi" w:cstheme="minorHAnsi"/>
          <w:b/>
          <w:lang w:val="fr-FR"/>
        </w:rPr>
      </w:pP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b/>
          <w:lang w:val="fr-FR"/>
        </w:rPr>
        <w:t>b) La Recherche</w:t>
      </w:r>
      <w:r w:rsidR="008A1C99">
        <w:rPr>
          <w:rFonts w:asciiTheme="minorHAnsi" w:hAnsiTheme="minorHAnsi" w:cstheme="minorHAnsi"/>
          <w:b/>
          <w:lang w:val="fr-FR"/>
        </w:rPr>
        <w:t xml:space="preserve"> Action participative</w:t>
      </w:r>
      <w:r w:rsidRPr="00627BF0">
        <w:rPr>
          <w:rFonts w:asciiTheme="minorHAnsi" w:hAnsiTheme="minorHAnsi" w:cstheme="minorHAnsi"/>
          <w:b/>
          <w:lang w:val="fr-FR"/>
        </w:rPr>
        <w:t xml:space="preserve"> </w:t>
      </w:r>
      <w:r w:rsidRPr="00627BF0">
        <w:rPr>
          <w:rFonts w:asciiTheme="minorHAnsi" w:hAnsiTheme="minorHAnsi" w:cstheme="minorHAnsi"/>
          <w:lang w:val="fr-FR"/>
        </w:rPr>
        <w:t>: La recherche, l’analyse des dynamiques conflictuelles étant au cœur du processus de transformation des conflits, APC développe une approche réflexive : la Recherche Action Participative (RAP), qui permet de s’assurer de la participation de toutes les parties prenantes dans le processus de transformation des conflits. Cette approche est axée sur deux stratégies dont la recherche et le dialogue.</w:t>
      </w: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lang w:val="fr-FR"/>
        </w:rPr>
        <w:t xml:space="preserve">c) </w:t>
      </w:r>
      <w:r w:rsidRPr="00627BF0">
        <w:rPr>
          <w:rFonts w:asciiTheme="minorHAnsi" w:hAnsiTheme="minorHAnsi" w:cstheme="minorHAnsi"/>
          <w:b/>
          <w:lang w:val="fr-FR"/>
        </w:rPr>
        <w:t xml:space="preserve">Le Dialogue </w:t>
      </w:r>
      <w:r w:rsidR="008A1C99">
        <w:rPr>
          <w:rFonts w:asciiTheme="minorHAnsi" w:hAnsiTheme="minorHAnsi" w:cstheme="minorHAnsi"/>
          <w:b/>
          <w:lang w:val="fr-FR"/>
        </w:rPr>
        <w:t>social</w:t>
      </w:r>
      <w:r w:rsidRPr="00627BF0">
        <w:rPr>
          <w:rFonts w:asciiTheme="minorHAnsi" w:hAnsiTheme="minorHAnsi" w:cstheme="minorHAnsi"/>
          <w:b/>
          <w:lang w:val="fr-FR"/>
        </w:rPr>
        <w:t xml:space="preserve">: </w:t>
      </w:r>
      <w:r w:rsidRPr="00627BF0">
        <w:rPr>
          <w:rFonts w:asciiTheme="minorHAnsi" w:hAnsiTheme="minorHAnsi" w:cstheme="minorHAnsi"/>
          <w:lang w:val="fr-FR"/>
        </w:rPr>
        <w:t>Il se réalise à deux niveaux</w:t>
      </w:r>
      <w:r w:rsidRPr="00627BF0">
        <w:rPr>
          <w:rFonts w:asciiTheme="minorHAnsi" w:hAnsiTheme="minorHAnsi" w:cstheme="minorHAnsi"/>
          <w:b/>
          <w:lang w:val="fr-FR"/>
        </w:rPr>
        <w:t xml:space="preserve">. </w:t>
      </w:r>
      <w:r w:rsidRPr="00627BF0">
        <w:rPr>
          <w:rFonts w:asciiTheme="minorHAnsi" w:hAnsiTheme="minorHAnsi" w:cstheme="minorHAnsi"/>
          <w:lang w:val="fr-FR"/>
        </w:rPr>
        <w:t xml:space="preserve">Au niveau local, le dialogue se réalise à la base à travers les rencontres organisées par les membres des CDM afin que, de manière consensuelle et non violente, les acteurs locaux trouvent des solutions aux problèmes qui les opposent ; ce qui rétablit la cohésion sociale entre les membres de la communauté en conflit. </w:t>
      </w: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lang w:val="fr-FR"/>
        </w:rPr>
        <w:t xml:space="preserve">En second lieu, à travers les ateliers, les tables rondes et les fora qu’organise APC au niveau territorial, provincial et national en collaboration directe avec les membres des CDM en impliquant les acteurs clés (les femmes leaders, les jeunes et les leaders de communautés) par rapport au sujet du dialogue. Ces dialogues visent plus le changement structurel soit auprès de la coutume, soit la législation ou les décisions politiques pouvant apporter des solutions durables aux problèmes dépassant les capacités des membres locaux eux-mêmes (le cas des membres des CDM et des noyaux jeunesse et Mamans Tujenge </w:t>
      </w:r>
      <w:proofErr w:type="spellStart"/>
      <w:r w:rsidRPr="00627BF0">
        <w:rPr>
          <w:rFonts w:asciiTheme="minorHAnsi" w:hAnsiTheme="minorHAnsi" w:cstheme="minorHAnsi"/>
          <w:lang w:val="fr-FR"/>
        </w:rPr>
        <w:t>Amani</w:t>
      </w:r>
      <w:proofErr w:type="spellEnd"/>
      <w:r w:rsidRPr="00627BF0">
        <w:rPr>
          <w:rFonts w:asciiTheme="minorHAnsi" w:hAnsiTheme="minorHAnsi" w:cstheme="minorHAnsi"/>
          <w:lang w:val="fr-FR"/>
        </w:rPr>
        <w:t xml:space="preserve">) et ce en privilégiant la cohésion sociale entre les différents acteurs. </w:t>
      </w:r>
      <w:r w:rsidRPr="00627BF0">
        <w:rPr>
          <w:rFonts w:asciiTheme="minorHAnsi" w:hAnsiTheme="minorHAnsi" w:cstheme="minorHAnsi"/>
          <w:b/>
          <w:lang w:val="fr-FR"/>
        </w:rPr>
        <w:t xml:space="preserve"> </w:t>
      </w:r>
    </w:p>
    <w:p w:rsidR="001750B9" w:rsidRPr="00627BF0" w:rsidRDefault="001750B9" w:rsidP="00627BF0">
      <w:pPr>
        <w:tabs>
          <w:tab w:val="left" w:pos="9900"/>
        </w:tabs>
        <w:autoSpaceDE w:val="0"/>
        <w:autoSpaceDN w:val="0"/>
        <w:adjustRightInd w:val="0"/>
        <w:spacing w:after="0"/>
        <w:jc w:val="both"/>
        <w:rPr>
          <w:rFonts w:asciiTheme="minorHAnsi" w:hAnsiTheme="minorHAnsi" w:cstheme="minorHAnsi"/>
          <w:lang w:val="fr-FR"/>
        </w:rPr>
      </w:pPr>
      <w:r w:rsidRPr="00627BF0">
        <w:rPr>
          <w:rFonts w:asciiTheme="minorHAnsi" w:hAnsiTheme="minorHAnsi" w:cstheme="minorHAnsi"/>
          <w:lang w:val="fr-FR"/>
        </w:rPr>
        <w:t xml:space="preserve">d) </w:t>
      </w:r>
      <w:r w:rsidRPr="00627BF0">
        <w:rPr>
          <w:rFonts w:asciiTheme="minorHAnsi" w:hAnsiTheme="minorHAnsi" w:cstheme="minorHAnsi"/>
          <w:b/>
          <w:lang w:val="fr-FR"/>
        </w:rPr>
        <w:t>Le Renforcement des capacités des acteurs locaux</w:t>
      </w:r>
      <w:r w:rsidRPr="00627BF0">
        <w:rPr>
          <w:rFonts w:asciiTheme="minorHAnsi" w:hAnsiTheme="minorHAnsi" w:cstheme="minorHAnsi"/>
          <w:lang w:val="fr-FR"/>
        </w:rPr>
        <w:t xml:space="preserve"> : Ce renforcement se réalise à deux niveaux. D’abord, le renforcement des capacités des staffs APC et acteurs clés dont les autorités en techniques de facilitation de dialogue social, médiation, négociation et la culture de dialogue. Ensuite, ces staffs formés continueront à leur tour à renforcer les capacités des membres des organisations partenaires, des CDM, des noyaux et autres leaders locaux dans les mêmes techniques. Ce processus de renforcement des capacités permet aux acteurs engagés dans la transformation des conflits de recourir aux mécanismes non violents de transformation des conflits, ce qui permet la responsabilisation des acteurs dans la conduite efficace des actions de manière permanente et l'appropriation des résultats du projet.</w:t>
      </w:r>
    </w:p>
    <w:p w:rsidR="001750B9" w:rsidRPr="00627BF0" w:rsidRDefault="001750B9" w:rsidP="00627BF0">
      <w:pPr>
        <w:tabs>
          <w:tab w:val="left" w:pos="9900"/>
        </w:tabs>
        <w:autoSpaceDE w:val="0"/>
        <w:autoSpaceDN w:val="0"/>
        <w:adjustRightInd w:val="0"/>
        <w:spacing w:after="0"/>
        <w:jc w:val="both"/>
        <w:rPr>
          <w:rFonts w:asciiTheme="minorHAnsi" w:hAnsiTheme="minorHAnsi" w:cstheme="minorHAnsi"/>
          <w:b/>
          <w:lang w:val="fr-FR"/>
        </w:rPr>
      </w:pPr>
      <w:r w:rsidRPr="00627BF0">
        <w:rPr>
          <w:rFonts w:asciiTheme="minorHAnsi" w:hAnsiTheme="minorHAnsi" w:cstheme="minorHAnsi"/>
          <w:b/>
          <w:lang w:val="fr-FR"/>
        </w:rPr>
        <w:t xml:space="preserve">e) Le Plaidoyer : </w:t>
      </w:r>
      <w:r w:rsidRPr="00627BF0">
        <w:rPr>
          <w:rFonts w:asciiTheme="minorHAnsi" w:hAnsiTheme="minorHAnsi" w:cstheme="minorHAnsi"/>
          <w:lang w:val="fr-FR"/>
        </w:rPr>
        <w:t>Les résultats des actions et les défis identifiés dans la mise en œuvre des actions ont permis de constater le besoin de mener des actions de plaidoyer aux niveaux provincial et national pour faire avancer le processus de stabilisation à l’Est de la RDC. Ceci s’explique par le fait que parmi les causes principales de violences communautaires et de l’instabilité figurent des dimensions structurelles qui doivent être adressées avec les structures politico-administratives dans la province et dans la capitale.</w:t>
      </w: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spacing w:after="0"/>
        <w:jc w:val="both"/>
        <w:rPr>
          <w:rFonts w:asciiTheme="minorHAnsi" w:hAnsiTheme="minorHAnsi" w:cstheme="minorHAnsi"/>
          <w:b/>
          <w:lang w:val="fr-FR"/>
        </w:rPr>
      </w:pPr>
      <w:r w:rsidRPr="00627BF0">
        <w:rPr>
          <w:rFonts w:asciiTheme="minorHAnsi" w:hAnsiTheme="minorHAnsi" w:cstheme="minorHAnsi"/>
          <w:b/>
          <w:lang w:val="fr-FR"/>
        </w:rPr>
        <w:t>6) Quelques réalisations :</w:t>
      </w: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lang w:val="fr-FR"/>
        </w:rPr>
        <w:t xml:space="preserve">A travers l’approche RAP, APC mène régulièrement des analyses du contexte socio sécuritaire de manière permanente et des Recherches Action Participative approfondies sur des thèmes spécifiques. A titre illustratif nous citons : de 2009 à 2011 : RAP sur les conflits fonciers et dynamiques de cohabitation en territoire de Kalehe avec l’appui technique et financier de LPI ; Entre 2012 à 2015: RAP sur la  promotion </w:t>
      </w:r>
      <w:r w:rsidRPr="00627BF0">
        <w:rPr>
          <w:rFonts w:asciiTheme="minorHAnsi" w:hAnsiTheme="minorHAnsi" w:cstheme="minorHAnsi"/>
          <w:lang w:val="fr-FR"/>
        </w:rPr>
        <w:lastRenderedPageBreak/>
        <w:t xml:space="preserve">et défense des droits de la femme à l’héritage et à l’accès à la terre dans les territoires de </w:t>
      </w:r>
      <w:proofErr w:type="spellStart"/>
      <w:r w:rsidRPr="00627BF0">
        <w:rPr>
          <w:rFonts w:asciiTheme="minorHAnsi" w:hAnsiTheme="minorHAnsi" w:cstheme="minorHAnsi"/>
          <w:lang w:val="fr-FR"/>
        </w:rPr>
        <w:t>Kabare</w:t>
      </w:r>
      <w:proofErr w:type="spellEnd"/>
      <w:r w:rsidRPr="00627BF0">
        <w:rPr>
          <w:rFonts w:asciiTheme="minorHAnsi" w:hAnsiTheme="minorHAnsi" w:cstheme="minorHAnsi"/>
          <w:lang w:val="fr-FR"/>
        </w:rPr>
        <w:t xml:space="preserve"> et de Kalehe, avec l’appui de IFA-ZIVIK et CORDAID ; de  2015 à 2016 RAP sur Terres, Identité, Pouvoir, Mouvement des populations et conflits dans la Région de Grands Lacs avec l’appui d’INTERPEACE ; en 2017 : Paysans sans terre et dynamiques d’accès à la terre dans les concessions foncières de Kalehe au Sud-Kivu/RDC, avec l’appui du projet ARC avec l’appui financier de ZOA, en 2018 : </w:t>
      </w:r>
      <w:r w:rsidRPr="00627BF0">
        <w:rPr>
          <w:rFonts w:asciiTheme="minorHAnsi" w:eastAsia="Times New Roman" w:hAnsiTheme="minorHAnsi" w:cstheme="minorHAnsi"/>
          <w:lang w:val="fr-FR"/>
        </w:rPr>
        <w:t xml:space="preserve">Comprendre les dynamiques des conflits et d’insécurité dans le triangle des territoires de </w:t>
      </w:r>
      <w:proofErr w:type="spellStart"/>
      <w:r w:rsidRPr="00627BF0">
        <w:rPr>
          <w:rFonts w:asciiTheme="minorHAnsi" w:eastAsia="Times New Roman" w:hAnsiTheme="minorHAnsi" w:cstheme="minorHAnsi"/>
          <w:lang w:val="fr-FR"/>
        </w:rPr>
        <w:t>Shabunda-Kabare</w:t>
      </w:r>
      <w:proofErr w:type="spellEnd"/>
      <w:r w:rsidRPr="00627BF0">
        <w:rPr>
          <w:rFonts w:asciiTheme="minorHAnsi" w:eastAsia="Times New Roman" w:hAnsiTheme="minorHAnsi" w:cstheme="minorHAnsi"/>
          <w:lang w:val="fr-FR"/>
        </w:rPr>
        <w:t xml:space="preserve"> -</w:t>
      </w:r>
      <w:proofErr w:type="spellStart"/>
      <w:r w:rsidRPr="00627BF0">
        <w:rPr>
          <w:rFonts w:asciiTheme="minorHAnsi" w:eastAsia="Times New Roman" w:hAnsiTheme="minorHAnsi" w:cstheme="minorHAnsi"/>
          <w:lang w:val="fr-FR"/>
        </w:rPr>
        <w:t>Walungu</w:t>
      </w:r>
      <w:proofErr w:type="spellEnd"/>
      <w:r w:rsidRPr="00627BF0">
        <w:rPr>
          <w:rFonts w:asciiTheme="minorHAnsi" w:eastAsia="Times New Roman" w:hAnsiTheme="minorHAnsi" w:cstheme="minorHAnsi"/>
          <w:lang w:val="fr-FR"/>
        </w:rPr>
        <w:t xml:space="preserve">  au Sud-Kivu,  dans le cadre du Programme Tujenge </w:t>
      </w:r>
      <w:proofErr w:type="spellStart"/>
      <w:r w:rsidRPr="00627BF0">
        <w:rPr>
          <w:rFonts w:asciiTheme="minorHAnsi" w:eastAsia="Times New Roman" w:hAnsiTheme="minorHAnsi" w:cstheme="minorHAnsi"/>
          <w:lang w:val="fr-FR"/>
        </w:rPr>
        <w:t>Amani</w:t>
      </w:r>
      <w:proofErr w:type="spellEnd"/>
      <w:r w:rsidRPr="00627BF0">
        <w:rPr>
          <w:rFonts w:asciiTheme="minorHAnsi" w:eastAsia="Times New Roman" w:hAnsiTheme="minorHAnsi" w:cstheme="minorHAnsi"/>
          <w:lang w:val="fr-FR"/>
        </w:rPr>
        <w:t xml:space="preserve"> avec l’appui technique du Département Fédéral des Affaires Etrangères Suisse (DFAE)  et enfin en 2018 : </w:t>
      </w:r>
      <w:r w:rsidRPr="00627BF0">
        <w:rPr>
          <w:rFonts w:asciiTheme="minorHAnsi" w:hAnsiTheme="minorHAnsi" w:cstheme="minorHAnsi"/>
          <w:lang w:val="fr-FR"/>
        </w:rPr>
        <w:t xml:space="preserve">Accès à la terre, sécurisation des droits fonciers et transformation des conflits fonciers en Chefferie de </w:t>
      </w:r>
      <w:proofErr w:type="spellStart"/>
      <w:r w:rsidRPr="00627BF0">
        <w:rPr>
          <w:rFonts w:asciiTheme="minorHAnsi" w:hAnsiTheme="minorHAnsi" w:cstheme="minorHAnsi"/>
          <w:lang w:val="fr-FR"/>
        </w:rPr>
        <w:t>Kabare</w:t>
      </w:r>
      <w:proofErr w:type="spellEnd"/>
      <w:r w:rsidRPr="00627BF0">
        <w:rPr>
          <w:rFonts w:asciiTheme="minorHAnsi" w:hAnsiTheme="minorHAnsi" w:cstheme="minorHAnsi"/>
          <w:lang w:val="fr-FR"/>
        </w:rPr>
        <w:t>, dans le cadre du projet de sécurité alimentaire au Sud-Kivu, avec l’appui de Mery Corps.</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lang w:val="fr-FR"/>
        </w:rPr>
        <w:t xml:space="preserve">Les structures communautaires (66 accompagnées par APC) sont impliquées dans la mise en œuvre des actions de dialogues sociaux qui permettent aux acteurs étatiques et ceux de la société civile ainsi que les parties aux conflits d’analyser leurs problèmes, les comprendre mieux, définir des plans d’actions susceptibles d’améliorer la situation et toutes les parties prenantes de s’engager dans la mise en œuvre des actions définies. </w:t>
      </w: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lang w:val="fr-FR"/>
        </w:rPr>
        <w:t>Ainsi, on observe à des changements significatifs comme :</w:t>
      </w:r>
      <w:r w:rsidRPr="00627BF0">
        <w:rPr>
          <w:rFonts w:asciiTheme="minorHAnsi" w:hAnsiTheme="minorHAnsi" w:cstheme="minorHAnsi"/>
          <w:b/>
          <w:bCs/>
          <w:lang w:val="fr-FR"/>
        </w:rPr>
        <w:t xml:space="preserve"> </w:t>
      </w:r>
      <w:r w:rsidRPr="00627BF0">
        <w:rPr>
          <w:rFonts w:asciiTheme="minorHAnsi" w:hAnsiTheme="minorHAnsi" w:cstheme="minorHAnsi"/>
          <w:bCs/>
          <w:lang w:val="fr-FR"/>
        </w:rPr>
        <w:t>La cohabitation entre les membres de différentes communautés  est  renforcée ; La mise en œuvre des actions et des engagements issus de dialogues sociaux par les parties prenantes contribuant à la réduction des violences dans les sites de nos projets, notamment la reddition des milliers ex-combattants et la remise des armes aux FARDC, le recourt de plus en plus à la non-violence par les populations bénéficiaires de nos actions en recourant plus aux mécanismes non violents principalement les structures communautaires qui ont déjà facilité les processus de médiation entre les parties en conflits.</w:t>
      </w:r>
      <w:r w:rsidRPr="00627BF0">
        <w:rPr>
          <w:rFonts w:asciiTheme="minorHAnsi" w:hAnsiTheme="minorHAnsi" w:cstheme="minorHAnsi"/>
          <w:lang w:val="fr-FR"/>
        </w:rPr>
        <w:t xml:space="preserve"> En plus, citons aussi la promotion des droits de la femme en termes de participation aux instances de prise de décision et le processus de consolidation de la paix, </w:t>
      </w: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lang w:val="fr-FR"/>
        </w:rPr>
        <w:t xml:space="preserve">APC travaille depuis 2012 avec les autorités étatiques nationales à travers les experts de la Commission Nationale de la Réforme Foncière, CONAREF sur le processus de la réforme foncière en RD. Congo en s’appuyant sur les expériences de sécurisation des droits fonciers des paysans et de médiation foncière entre les parties en conflits. Ces expériences sont développées par certaines ONG Nationales dont APC avec les partenaires internationaux en faveur des chefferies et secteur comme Entités Territoriales Décentralisées (ETD) dans les différentes provinces de la RDC. </w:t>
      </w: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lang w:val="fr-FR"/>
        </w:rPr>
        <w:t>Au bout d’un travail de combinaison des différents outil</w:t>
      </w:r>
      <w:r w:rsidR="00601399">
        <w:rPr>
          <w:rFonts w:asciiTheme="minorHAnsi" w:hAnsiTheme="minorHAnsi" w:cstheme="minorHAnsi"/>
          <w:lang w:val="fr-FR"/>
        </w:rPr>
        <w:t>s énoncés ci-haut pendant plus 10</w:t>
      </w:r>
      <w:r w:rsidRPr="00627BF0">
        <w:rPr>
          <w:rFonts w:asciiTheme="minorHAnsi" w:hAnsiTheme="minorHAnsi" w:cstheme="minorHAnsi"/>
          <w:lang w:val="fr-FR"/>
        </w:rPr>
        <w:t xml:space="preserve"> ans sur la problématique de la persistance des groupes armés dans les Provinces du Nord-Kivu et du Sud-Kivu,  APC  a le mérite d’avoir influencé les acteurs étatiques à tous les niveaux de l’Etat congolais et les acteurs non étatiques à adhérer et s’approprié le nouveau programme Désarmement, Démobilisation et Réinsertion Communautaire(DDR-C) comme alternative aux défis des plusieurs programmes DDR  qui ont été mis en œuvre en RDC. Ce qui ouvre à ce jour à un processus de réforme du secteur de stabilisation en RDC.</w:t>
      </w:r>
    </w:p>
    <w:p w:rsidR="004736D7" w:rsidRPr="00601399" w:rsidRDefault="001750B9" w:rsidP="00601399">
      <w:pPr>
        <w:jc w:val="both"/>
        <w:rPr>
          <w:rFonts w:asciiTheme="minorHAnsi" w:hAnsiTheme="minorHAnsi" w:cstheme="minorHAnsi"/>
          <w:color w:val="000000"/>
          <w:lang w:val="fr-FR"/>
        </w:rPr>
      </w:pPr>
      <w:r w:rsidRPr="00627BF0">
        <w:rPr>
          <w:rFonts w:asciiTheme="minorHAnsi" w:hAnsiTheme="minorHAnsi" w:cstheme="minorHAnsi"/>
          <w:color w:val="000000"/>
          <w:lang w:val="fr-FR"/>
        </w:rPr>
        <w:t xml:space="preserve">APC a aussi conduit avec succès, le processus de dialogue entre les grands concessionnaires et les petits producteurs/ les paysans sans terre qui recourent au métayage dans les grandes concessions dans les </w:t>
      </w:r>
      <w:r w:rsidRPr="00627BF0">
        <w:rPr>
          <w:rFonts w:asciiTheme="minorHAnsi" w:hAnsiTheme="minorHAnsi" w:cstheme="minorHAnsi"/>
          <w:color w:val="000000"/>
          <w:lang w:val="fr-FR"/>
        </w:rPr>
        <w:lastRenderedPageBreak/>
        <w:t xml:space="preserve">territoires de Kalehe et de </w:t>
      </w:r>
      <w:proofErr w:type="spellStart"/>
      <w:r w:rsidRPr="00627BF0">
        <w:rPr>
          <w:rFonts w:asciiTheme="minorHAnsi" w:hAnsiTheme="minorHAnsi" w:cstheme="minorHAnsi"/>
          <w:color w:val="000000"/>
          <w:lang w:val="fr-FR"/>
        </w:rPr>
        <w:t>Kabare</w:t>
      </w:r>
      <w:proofErr w:type="spellEnd"/>
      <w:r w:rsidRPr="00627BF0">
        <w:rPr>
          <w:rFonts w:asciiTheme="minorHAnsi" w:hAnsiTheme="minorHAnsi" w:cstheme="minorHAnsi"/>
          <w:color w:val="000000"/>
          <w:lang w:val="fr-FR"/>
        </w:rPr>
        <w:t>. Ce processus apporte notre contribution à l’accès à la terre dans les grandes concessions dans les conditions plus humaines et les relations de confiance, de dialogue entre les concessionnaires et les paysans sans terre. Dans ces territoires, plus de 1500 ménages ont accédé à la terre selon les conditions négociées et qui tiennent compte des intérêts des grands concessionnaires et de métayers ou paysans sans terre.</w:t>
      </w:r>
    </w:p>
    <w:p w:rsidR="004736D7" w:rsidRPr="00627BF0" w:rsidRDefault="00485A01" w:rsidP="00627BF0">
      <w:pPr>
        <w:jc w:val="both"/>
        <w:rPr>
          <w:rFonts w:asciiTheme="minorHAnsi" w:hAnsiTheme="minorHAnsi" w:cstheme="minorHAnsi"/>
          <w:iCs/>
          <w:color w:val="000000" w:themeColor="text1"/>
          <w:lang w:val="fr-FR"/>
        </w:rPr>
      </w:pPr>
      <w:r w:rsidRPr="00627BF0">
        <w:rPr>
          <w:rFonts w:asciiTheme="minorHAnsi" w:hAnsiTheme="minorHAnsi" w:cstheme="minorHAnsi"/>
          <w:spacing w:val="6"/>
          <w:sz w:val="24"/>
          <w:szCs w:val="24"/>
          <w:lang w:val="fr-FR" w:eastAsia="nl-NL"/>
        </w:rPr>
        <w:t>Projet « promouvoir la stabilisation des communaut</w:t>
      </w:r>
      <w:r w:rsidRPr="00627BF0">
        <w:rPr>
          <w:rFonts w:asciiTheme="minorHAnsi" w:hAnsiTheme="minorHAnsi" w:cstheme="minorHAnsi"/>
          <w:sz w:val="24"/>
          <w:szCs w:val="24"/>
          <w:lang w:val="fr-FR"/>
        </w:rPr>
        <w:t>é</w:t>
      </w:r>
      <w:r w:rsidRPr="00627BF0">
        <w:rPr>
          <w:rFonts w:asciiTheme="minorHAnsi" w:hAnsiTheme="minorHAnsi" w:cstheme="minorHAnsi"/>
          <w:spacing w:val="6"/>
          <w:sz w:val="24"/>
          <w:szCs w:val="24"/>
          <w:lang w:val="fr-FR" w:eastAsia="nl-NL"/>
        </w:rPr>
        <w:t>s frontalières par des solutions durables pour les flux migratoires mixtes et une gestion efficace des frontières entre l'Angola et la RDC » a contribué aux changements suivants :</w:t>
      </w:r>
      <w:r w:rsidRPr="00627BF0">
        <w:rPr>
          <w:rFonts w:asciiTheme="minorHAnsi" w:hAnsiTheme="minorHAnsi" w:cstheme="minorHAnsi"/>
          <w:bCs/>
          <w:sz w:val="24"/>
          <w:szCs w:val="24"/>
          <w:lang w:val="fr-FR"/>
        </w:rPr>
        <w:t> </w:t>
      </w:r>
      <w:r w:rsidRPr="00627BF0">
        <w:rPr>
          <w:rFonts w:asciiTheme="minorHAnsi" w:hAnsiTheme="minorHAnsi" w:cstheme="minorHAnsi"/>
          <w:bCs/>
          <w:color w:val="FFFFFF" w:themeColor="background1"/>
          <w:spacing w:val="6"/>
          <w:sz w:val="24"/>
          <w:szCs w:val="24"/>
          <w:lang w:val="fr-FR" w:eastAsia="nl-NL"/>
        </w:rPr>
        <w:t xml:space="preserve"> </w:t>
      </w:r>
      <w:r w:rsidRPr="00627BF0">
        <w:rPr>
          <w:rFonts w:asciiTheme="minorHAnsi" w:hAnsiTheme="minorHAnsi" w:cstheme="minorHAnsi"/>
          <w:iCs/>
          <w:color w:val="000000" w:themeColor="text1"/>
          <w:lang w:val="fr-FR"/>
        </w:rPr>
        <w:t>Renforcer la cohésion sociale en apportant des infrastructures communautaires de base et en organisant des activités de rapprochement communautaires ; Renforcer la résilience des populations vulnérables en leur permettant de travailler via le HIMO, de bénéficier de formations professionnelles et d’appui dans le lancement d’activités génératrices de revenus ; Améliorer la santé mentale en participant au référencement des cas via l’animation du réseau des points focaux, et en orientant vers les structures de prises en charge.</w:t>
      </w:r>
    </w:p>
    <w:p w:rsidR="00196EA9" w:rsidRPr="00627BF0" w:rsidRDefault="00196EA9" w:rsidP="00627BF0">
      <w:pPr>
        <w:shd w:val="clear" w:color="auto" w:fill="FFFFFF"/>
        <w:spacing w:after="160"/>
        <w:jc w:val="both"/>
        <w:rPr>
          <w:rFonts w:asciiTheme="minorHAnsi" w:hAnsiTheme="minorHAnsi" w:cstheme="minorHAnsi"/>
          <w:sz w:val="24"/>
          <w:szCs w:val="24"/>
          <w:lang w:val="fr-FR"/>
        </w:rPr>
      </w:pPr>
      <w:r w:rsidRPr="00627BF0">
        <w:rPr>
          <w:rFonts w:asciiTheme="minorHAnsi" w:hAnsiTheme="minorHAnsi" w:cstheme="minorHAnsi"/>
          <w:iCs/>
          <w:color w:val="000000" w:themeColor="text1"/>
          <w:lang w:val="fr-FR"/>
        </w:rPr>
        <w:t>Pour ce</w:t>
      </w:r>
      <w:r w:rsidR="00990DF2" w:rsidRPr="00627BF0">
        <w:rPr>
          <w:rFonts w:asciiTheme="minorHAnsi" w:hAnsiTheme="minorHAnsi" w:cstheme="minorHAnsi"/>
          <w:iCs/>
          <w:color w:val="000000" w:themeColor="text1"/>
          <w:lang w:val="fr-FR"/>
        </w:rPr>
        <w:t xml:space="preserve"> </w:t>
      </w:r>
      <w:r w:rsidRPr="00627BF0">
        <w:rPr>
          <w:rFonts w:asciiTheme="minorHAnsi" w:hAnsiTheme="minorHAnsi" w:cstheme="minorHAnsi"/>
          <w:iCs/>
          <w:color w:val="000000" w:themeColor="text1"/>
          <w:lang w:val="fr-FR"/>
        </w:rPr>
        <w:t xml:space="preserve">qui est du projet soutien à la médiation pour la résilience et la paix en </w:t>
      </w:r>
      <w:proofErr w:type="spellStart"/>
      <w:r w:rsidRPr="00627BF0">
        <w:rPr>
          <w:rFonts w:asciiTheme="minorHAnsi" w:hAnsiTheme="minorHAnsi" w:cstheme="minorHAnsi"/>
          <w:iCs/>
          <w:color w:val="000000" w:themeColor="text1"/>
          <w:lang w:val="fr-FR"/>
        </w:rPr>
        <w:t>Ituri</w:t>
      </w:r>
      <w:proofErr w:type="spellEnd"/>
      <w:r w:rsidRPr="00627BF0">
        <w:rPr>
          <w:rFonts w:asciiTheme="minorHAnsi" w:hAnsiTheme="minorHAnsi" w:cstheme="minorHAnsi"/>
          <w:iCs/>
          <w:color w:val="000000" w:themeColor="text1"/>
          <w:lang w:val="fr-FR"/>
        </w:rPr>
        <w:t>, notons quelques changements</w:t>
      </w:r>
      <w:r w:rsidR="00990DF2" w:rsidRPr="00627BF0">
        <w:rPr>
          <w:rFonts w:asciiTheme="minorHAnsi" w:hAnsiTheme="minorHAnsi" w:cstheme="minorHAnsi"/>
          <w:iCs/>
          <w:color w:val="000000" w:themeColor="text1"/>
          <w:lang w:val="fr-FR"/>
        </w:rPr>
        <w:t> :</w:t>
      </w:r>
      <w:r w:rsidR="00990DF2" w:rsidRPr="00627BF0">
        <w:rPr>
          <w:rFonts w:asciiTheme="minorHAnsi" w:hAnsiTheme="minorHAnsi" w:cstheme="minorHAnsi"/>
          <w:sz w:val="24"/>
          <w:szCs w:val="24"/>
          <w:lang w:val="fr-FR"/>
        </w:rPr>
        <w:t xml:space="preserve"> La circulation des membres des communautés s’effectue progressivement sur certains axes routiers, par exemple sur la RN27 (</w:t>
      </w:r>
      <w:proofErr w:type="spellStart"/>
      <w:r w:rsidR="00990DF2" w:rsidRPr="00627BF0">
        <w:rPr>
          <w:rFonts w:asciiTheme="minorHAnsi" w:hAnsiTheme="minorHAnsi" w:cstheme="minorHAnsi"/>
          <w:sz w:val="24"/>
          <w:szCs w:val="24"/>
          <w:lang w:val="fr-FR"/>
        </w:rPr>
        <w:t>Iga</w:t>
      </w:r>
      <w:proofErr w:type="spellEnd"/>
      <w:r w:rsidR="00990DF2" w:rsidRPr="00627BF0">
        <w:rPr>
          <w:rFonts w:asciiTheme="minorHAnsi" w:hAnsiTheme="minorHAnsi" w:cstheme="minorHAnsi"/>
          <w:sz w:val="24"/>
          <w:szCs w:val="24"/>
          <w:lang w:val="fr-FR"/>
        </w:rPr>
        <w:t>-Barrière-</w:t>
      </w:r>
      <w:proofErr w:type="spellStart"/>
      <w:r w:rsidR="00990DF2" w:rsidRPr="00627BF0">
        <w:rPr>
          <w:rFonts w:asciiTheme="minorHAnsi" w:hAnsiTheme="minorHAnsi" w:cstheme="minorHAnsi"/>
          <w:sz w:val="24"/>
          <w:szCs w:val="24"/>
          <w:lang w:val="fr-FR"/>
        </w:rPr>
        <w:t>Lopa</w:t>
      </w:r>
      <w:proofErr w:type="spellEnd"/>
      <w:r w:rsidR="00990DF2" w:rsidRPr="00627BF0">
        <w:rPr>
          <w:rFonts w:asciiTheme="minorHAnsi" w:hAnsiTheme="minorHAnsi" w:cstheme="minorHAnsi"/>
          <w:sz w:val="24"/>
          <w:szCs w:val="24"/>
          <w:lang w:val="fr-FR"/>
        </w:rPr>
        <w:t>-Jina-</w:t>
      </w:r>
      <w:proofErr w:type="spellStart"/>
      <w:r w:rsidR="00990DF2" w:rsidRPr="00627BF0">
        <w:rPr>
          <w:rFonts w:asciiTheme="minorHAnsi" w:hAnsiTheme="minorHAnsi" w:cstheme="minorHAnsi"/>
          <w:sz w:val="24"/>
          <w:szCs w:val="24"/>
          <w:lang w:val="fr-FR"/>
        </w:rPr>
        <w:t>Pimbo</w:t>
      </w:r>
      <w:proofErr w:type="spellEnd"/>
      <w:r w:rsidR="00990DF2" w:rsidRPr="00627BF0">
        <w:rPr>
          <w:rFonts w:asciiTheme="minorHAnsi" w:hAnsiTheme="minorHAnsi" w:cstheme="minorHAnsi"/>
          <w:sz w:val="24"/>
          <w:szCs w:val="24"/>
          <w:lang w:val="fr-FR"/>
        </w:rPr>
        <w:t>-</w:t>
      </w:r>
      <w:proofErr w:type="spellStart"/>
      <w:r w:rsidR="00990DF2" w:rsidRPr="00627BF0">
        <w:rPr>
          <w:rFonts w:asciiTheme="minorHAnsi" w:hAnsiTheme="minorHAnsi" w:cstheme="minorHAnsi"/>
          <w:sz w:val="24"/>
          <w:szCs w:val="24"/>
          <w:lang w:val="fr-FR"/>
        </w:rPr>
        <w:t>Fataki</w:t>
      </w:r>
      <w:proofErr w:type="spellEnd"/>
      <w:r w:rsidR="00990DF2" w:rsidRPr="00627BF0">
        <w:rPr>
          <w:rFonts w:asciiTheme="minorHAnsi" w:hAnsiTheme="minorHAnsi" w:cstheme="minorHAnsi"/>
          <w:sz w:val="24"/>
          <w:szCs w:val="24"/>
          <w:lang w:val="fr-FR"/>
        </w:rPr>
        <w:t xml:space="preserve">-Mahagi), </w:t>
      </w:r>
      <w:proofErr w:type="spellStart"/>
      <w:r w:rsidR="00990DF2" w:rsidRPr="00627BF0">
        <w:rPr>
          <w:rFonts w:asciiTheme="minorHAnsi" w:hAnsiTheme="minorHAnsi" w:cstheme="minorHAnsi"/>
          <w:sz w:val="24"/>
          <w:szCs w:val="24"/>
          <w:lang w:val="fr-FR"/>
        </w:rPr>
        <w:t>Katoto</w:t>
      </w:r>
      <w:proofErr w:type="spellEnd"/>
      <w:r w:rsidR="00990DF2" w:rsidRPr="00627BF0">
        <w:rPr>
          <w:rFonts w:asciiTheme="minorHAnsi" w:hAnsiTheme="minorHAnsi" w:cstheme="minorHAnsi"/>
          <w:sz w:val="24"/>
          <w:szCs w:val="24"/>
          <w:lang w:val="fr-FR"/>
        </w:rPr>
        <w:t>-Lita-</w:t>
      </w:r>
      <w:proofErr w:type="spellStart"/>
      <w:r w:rsidR="00990DF2" w:rsidRPr="00627BF0">
        <w:rPr>
          <w:rFonts w:asciiTheme="minorHAnsi" w:hAnsiTheme="minorHAnsi" w:cstheme="minorHAnsi"/>
          <w:sz w:val="24"/>
          <w:szCs w:val="24"/>
          <w:lang w:val="fr-FR"/>
        </w:rPr>
        <w:t>Kparnganza</w:t>
      </w:r>
      <w:proofErr w:type="spellEnd"/>
      <w:r w:rsidR="00990DF2" w:rsidRPr="00627BF0">
        <w:rPr>
          <w:rFonts w:asciiTheme="minorHAnsi" w:hAnsiTheme="minorHAnsi" w:cstheme="minorHAnsi"/>
          <w:sz w:val="24"/>
          <w:szCs w:val="24"/>
          <w:lang w:val="fr-FR"/>
        </w:rPr>
        <w:t>-</w:t>
      </w:r>
      <w:proofErr w:type="spellStart"/>
      <w:r w:rsidR="00990DF2" w:rsidRPr="00627BF0">
        <w:rPr>
          <w:rFonts w:asciiTheme="minorHAnsi" w:hAnsiTheme="minorHAnsi" w:cstheme="minorHAnsi"/>
          <w:sz w:val="24"/>
          <w:szCs w:val="24"/>
          <w:lang w:val="fr-FR"/>
        </w:rPr>
        <w:t>Masumbuko-Drodroainsi</w:t>
      </w:r>
      <w:proofErr w:type="spellEnd"/>
      <w:r w:rsidR="00990DF2" w:rsidRPr="00627BF0">
        <w:rPr>
          <w:rFonts w:asciiTheme="minorHAnsi" w:hAnsiTheme="minorHAnsi" w:cstheme="minorHAnsi"/>
          <w:sz w:val="24"/>
          <w:szCs w:val="24"/>
          <w:lang w:val="fr-FR"/>
        </w:rPr>
        <w:t xml:space="preserve"> que sur l’axe routier </w:t>
      </w:r>
      <w:proofErr w:type="spellStart"/>
      <w:r w:rsidR="00990DF2" w:rsidRPr="00627BF0">
        <w:rPr>
          <w:rFonts w:asciiTheme="minorHAnsi" w:hAnsiTheme="minorHAnsi" w:cstheme="minorHAnsi"/>
          <w:sz w:val="24"/>
          <w:szCs w:val="24"/>
          <w:lang w:val="fr-FR"/>
        </w:rPr>
        <w:t>Iga</w:t>
      </w:r>
      <w:proofErr w:type="spellEnd"/>
      <w:r w:rsidR="00990DF2" w:rsidRPr="00627BF0">
        <w:rPr>
          <w:rFonts w:asciiTheme="minorHAnsi" w:hAnsiTheme="minorHAnsi" w:cstheme="minorHAnsi"/>
          <w:sz w:val="24"/>
          <w:szCs w:val="24"/>
          <w:lang w:val="fr-FR"/>
        </w:rPr>
        <w:t>-Barrière-</w:t>
      </w:r>
      <w:proofErr w:type="spellStart"/>
      <w:r w:rsidR="00990DF2" w:rsidRPr="00627BF0">
        <w:rPr>
          <w:rFonts w:asciiTheme="minorHAnsi" w:hAnsiTheme="minorHAnsi" w:cstheme="minorHAnsi"/>
          <w:sz w:val="24"/>
          <w:szCs w:val="24"/>
          <w:lang w:val="fr-FR"/>
        </w:rPr>
        <w:t>Nizi</w:t>
      </w:r>
      <w:proofErr w:type="spellEnd"/>
      <w:r w:rsidR="00990DF2" w:rsidRPr="00627BF0">
        <w:rPr>
          <w:rFonts w:asciiTheme="minorHAnsi" w:hAnsiTheme="minorHAnsi" w:cstheme="minorHAnsi"/>
          <w:sz w:val="24"/>
          <w:szCs w:val="24"/>
          <w:lang w:val="fr-FR"/>
        </w:rPr>
        <w:t>-</w:t>
      </w:r>
      <w:proofErr w:type="spellStart"/>
      <w:r w:rsidR="00990DF2" w:rsidRPr="00627BF0">
        <w:rPr>
          <w:rFonts w:asciiTheme="minorHAnsi" w:hAnsiTheme="minorHAnsi" w:cstheme="minorHAnsi"/>
          <w:sz w:val="24"/>
          <w:szCs w:val="24"/>
          <w:lang w:val="fr-FR"/>
        </w:rPr>
        <w:t>Bambu</w:t>
      </w:r>
      <w:proofErr w:type="spellEnd"/>
      <w:r w:rsidR="00990DF2" w:rsidRPr="00627BF0">
        <w:rPr>
          <w:rFonts w:asciiTheme="minorHAnsi" w:hAnsiTheme="minorHAnsi" w:cstheme="minorHAnsi"/>
          <w:sz w:val="24"/>
          <w:szCs w:val="24"/>
          <w:lang w:val="fr-FR"/>
        </w:rPr>
        <w:t>-</w:t>
      </w:r>
      <w:proofErr w:type="spellStart"/>
      <w:r w:rsidR="00990DF2" w:rsidRPr="00627BF0">
        <w:rPr>
          <w:rFonts w:asciiTheme="minorHAnsi" w:hAnsiTheme="minorHAnsi" w:cstheme="minorHAnsi"/>
          <w:sz w:val="24"/>
          <w:szCs w:val="24"/>
          <w:lang w:val="fr-FR"/>
        </w:rPr>
        <w:t>Kobu</w:t>
      </w:r>
      <w:proofErr w:type="spellEnd"/>
      <w:r w:rsidR="00990DF2" w:rsidRPr="00627BF0">
        <w:rPr>
          <w:rFonts w:asciiTheme="minorHAnsi" w:hAnsiTheme="minorHAnsi" w:cstheme="minorHAnsi"/>
          <w:sz w:val="24"/>
          <w:szCs w:val="24"/>
          <w:lang w:val="fr-FR"/>
        </w:rPr>
        <w:t>-Kilo-</w:t>
      </w:r>
      <w:proofErr w:type="spellStart"/>
      <w:r w:rsidR="00990DF2" w:rsidRPr="00627BF0">
        <w:rPr>
          <w:rFonts w:asciiTheme="minorHAnsi" w:hAnsiTheme="minorHAnsi" w:cstheme="minorHAnsi"/>
          <w:sz w:val="24"/>
          <w:szCs w:val="24"/>
          <w:lang w:val="fr-FR"/>
        </w:rPr>
        <w:t>Mungwalu</w:t>
      </w:r>
      <w:proofErr w:type="spellEnd"/>
      <w:r w:rsidR="00601399">
        <w:rPr>
          <w:rFonts w:asciiTheme="minorHAnsi" w:hAnsiTheme="minorHAnsi" w:cstheme="minorHAnsi"/>
          <w:sz w:val="24"/>
          <w:szCs w:val="24"/>
          <w:lang w:val="fr-FR"/>
        </w:rPr>
        <w:t xml:space="preserve"> et dans certains marchés</w:t>
      </w:r>
      <w:r w:rsidR="00990DF2" w:rsidRPr="00627BF0">
        <w:rPr>
          <w:rFonts w:asciiTheme="minorHAnsi" w:hAnsiTheme="minorHAnsi" w:cstheme="minorHAnsi"/>
          <w:sz w:val="24"/>
          <w:szCs w:val="24"/>
          <w:lang w:val="fr-FR"/>
        </w:rPr>
        <w:t xml:space="preserve">. </w:t>
      </w:r>
      <w:bookmarkStart w:id="1" w:name="_Toc163725644"/>
      <w:r w:rsidR="00990DF2" w:rsidRPr="00627BF0">
        <w:rPr>
          <w:rFonts w:asciiTheme="minorHAnsi" w:hAnsiTheme="minorHAnsi" w:cstheme="minorHAnsi"/>
          <w:sz w:val="24"/>
          <w:szCs w:val="24"/>
          <w:lang w:val="fr-FR"/>
        </w:rPr>
        <w:t xml:space="preserve"> Il s’observe aussi le début de renforcement de la cohésion sociale</w:t>
      </w:r>
      <w:bookmarkEnd w:id="1"/>
      <w:r w:rsidR="00990DF2" w:rsidRPr="00627BF0">
        <w:rPr>
          <w:rFonts w:asciiTheme="minorHAnsi" w:hAnsiTheme="minorHAnsi" w:cstheme="minorHAnsi"/>
          <w:sz w:val="24"/>
          <w:szCs w:val="24"/>
          <w:lang w:val="fr-FR"/>
        </w:rPr>
        <w:t xml:space="preserve"> : Les conflits ont été à la base des déplacements des milliers des populations civiles. </w:t>
      </w:r>
    </w:p>
    <w:p w:rsidR="001750B9" w:rsidRPr="00627BF0" w:rsidRDefault="001750B9" w:rsidP="00627BF0">
      <w:pPr>
        <w:tabs>
          <w:tab w:val="left" w:pos="9900"/>
        </w:tabs>
        <w:autoSpaceDE w:val="0"/>
        <w:autoSpaceDN w:val="0"/>
        <w:adjustRightInd w:val="0"/>
        <w:spacing w:after="0"/>
        <w:jc w:val="both"/>
        <w:rPr>
          <w:rFonts w:asciiTheme="minorHAnsi" w:hAnsiTheme="minorHAnsi" w:cstheme="minorHAnsi"/>
          <w:b/>
          <w:lang w:val="fr-FR"/>
        </w:rPr>
      </w:pPr>
      <w:r w:rsidRPr="00627BF0">
        <w:rPr>
          <w:rFonts w:asciiTheme="minorHAnsi" w:hAnsiTheme="minorHAnsi" w:cstheme="minorHAnsi"/>
          <w:b/>
          <w:lang w:val="fr-FR"/>
        </w:rPr>
        <w:t xml:space="preserve">7. Zone d’intervention </w:t>
      </w:r>
    </w:p>
    <w:p w:rsidR="001750B9" w:rsidRPr="00C866C0" w:rsidRDefault="001750B9" w:rsidP="00C866C0">
      <w:pPr>
        <w:pStyle w:val="CommentText"/>
        <w:jc w:val="both"/>
        <w:rPr>
          <w:rFonts w:asciiTheme="minorHAnsi" w:hAnsiTheme="minorHAnsi" w:cstheme="minorHAnsi"/>
          <w:sz w:val="22"/>
          <w:szCs w:val="22"/>
          <w:lang w:val="fr-FR"/>
        </w:rPr>
      </w:pPr>
      <w:r w:rsidRPr="00627BF0">
        <w:rPr>
          <w:rFonts w:asciiTheme="minorHAnsi" w:hAnsiTheme="minorHAnsi" w:cstheme="minorHAnsi"/>
          <w:sz w:val="22"/>
          <w:szCs w:val="22"/>
          <w:lang w:val="fr-FR"/>
        </w:rPr>
        <w:t xml:space="preserve">Actuellement APC intervient dans les Province du Nord-Kivu (Territoires de </w:t>
      </w:r>
      <w:proofErr w:type="spellStart"/>
      <w:r w:rsidRPr="00627BF0">
        <w:rPr>
          <w:rFonts w:asciiTheme="minorHAnsi" w:hAnsiTheme="minorHAnsi" w:cstheme="minorHAnsi"/>
          <w:sz w:val="22"/>
          <w:szCs w:val="22"/>
          <w:lang w:val="fr-FR"/>
        </w:rPr>
        <w:t>Walikale</w:t>
      </w:r>
      <w:proofErr w:type="spellEnd"/>
      <w:r w:rsidRPr="00627BF0">
        <w:rPr>
          <w:rFonts w:asciiTheme="minorHAnsi" w:hAnsiTheme="minorHAnsi" w:cstheme="minorHAnsi"/>
          <w:sz w:val="22"/>
          <w:szCs w:val="22"/>
          <w:lang w:val="fr-CD"/>
        </w:rPr>
        <w:t>,</w:t>
      </w:r>
      <w:r w:rsidRPr="00627BF0">
        <w:rPr>
          <w:rFonts w:asciiTheme="minorHAnsi" w:hAnsiTheme="minorHAnsi" w:cstheme="minorHAnsi"/>
          <w:sz w:val="22"/>
          <w:szCs w:val="22"/>
          <w:lang w:val="fr-FR"/>
        </w:rPr>
        <w:t xml:space="preserve"> de </w:t>
      </w:r>
      <w:proofErr w:type="spellStart"/>
      <w:r w:rsidRPr="00627BF0">
        <w:rPr>
          <w:rFonts w:asciiTheme="minorHAnsi" w:hAnsiTheme="minorHAnsi" w:cstheme="minorHAnsi"/>
          <w:sz w:val="22"/>
          <w:szCs w:val="22"/>
          <w:lang w:val="fr-FR"/>
        </w:rPr>
        <w:t>Masisi</w:t>
      </w:r>
      <w:proofErr w:type="spellEnd"/>
      <w:r w:rsidRPr="00627BF0">
        <w:rPr>
          <w:rFonts w:asciiTheme="minorHAnsi" w:hAnsiTheme="minorHAnsi" w:cstheme="minorHAnsi"/>
          <w:sz w:val="22"/>
          <w:szCs w:val="22"/>
          <w:lang w:val="fr-CD"/>
        </w:rPr>
        <w:t xml:space="preserve"> et dans la ville de Goma</w:t>
      </w:r>
      <w:r w:rsidRPr="00627BF0">
        <w:rPr>
          <w:rFonts w:asciiTheme="minorHAnsi" w:hAnsiTheme="minorHAnsi" w:cstheme="minorHAnsi"/>
          <w:sz w:val="22"/>
          <w:szCs w:val="22"/>
          <w:lang w:val="fr-FR"/>
        </w:rPr>
        <w:t xml:space="preserve">) ; Province du Sud-Kivu (Territoires de Kalehe, </w:t>
      </w:r>
      <w:proofErr w:type="spellStart"/>
      <w:r w:rsidRPr="00627BF0">
        <w:rPr>
          <w:rFonts w:asciiTheme="minorHAnsi" w:hAnsiTheme="minorHAnsi" w:cstheme="minorHAnsi"/>
          <w:sz w:val="22"/>
          <w:szCs w:val="22"/>
          <w:lang w:val="fr-FR"/>
        </w:rPr>
        <w:t>Kabare</w:t>
      </w:r>
      <w:proofErr w:type="spellEnd"/>
      <w:r w:rsidRPr="00627BF0">
        <w:rPr>
          <w:rFonts w:asciiTheme="minorHAnsi" w:hAnsiTheme="minorHAnsi" w:cstheme="minorHAnsi"/>
          <w:sz w:val="22"/>
          <w:szCs w:val="22"/>
          <w:lang w:val="fr-FR"/>
        </w:rPr>
        <w:t xml:space="preserve">, </w:t>
      </w:r>
      <w:proofErr w:type="spellStart"/>
      <w:r w:rsidRPr="00627BF0">
        <w:rPr>
          <w:rFonts w:asciiTheme="minorHAnsi" w:hAnsiTheme="minorHAnsi" w:cstheme="minorHAnsi"/>
          <w:sz w:val="22"/>
          <w:szCs w:val="22"/>
          <w:lang w:val="fr-FR"/>
        </w:rPr>
        <w:t>Walungu</w:t>
      </w:r>
      <w:proofErr w:type="spellEnd"/>
      <w:r w:rsidRPr="00627BF0">
        <w:rPr>
          <w:rFonts w:asciiTheme="minorHAnsi" w:hAnsiTheme="minorHAnsi" w:cstheme="minorHAnsi"/>
          <w:sz w:val="22"/>
          <w:szCs w:val="22"/>
          <w:lang w:val="fr-FR"/>
        </w:rPr>
        <w:t xml:space="preserve">, </w:t>
      </w:r>
      <w:proofErr w:type="spellStart"/>
      <w:r w:rsidRPr="00627BF0">
        <w:rPr>
          <w:rFonts w:asciiTheme="minorHAnsi" w:hAnsiTheme="minorHAnsi" w:cstheme="minorHAnsi"/>
          <w:sz w:val="22"/>
          <w:szCs w:val="22"/>
          <w:lang w:val="fr-FR"/>
        </w:rPr>
        <w:t>Shabunda</w:t>
      </w:r>
      <w:proofErr w:type="spellEnd"/>
      <w:r w:rsidRPr="00627BF0">
        <w:rPr>
          <w:rFonts w:asciiTheme="minorHAnsi" w:hAnsiTheme="minorHAnsi" w:cstheme="minorHAnsi"/>
          <w:sz w:val="22"/>
          <w:szCs w:val="22"/>
          <w:lang w:val="fr-CD"/>
        </w:rPr>
        <w:t xml:space="preserve">, </w:t>
      </w:r>
      <w:proofErr w:type="spellStart"/>
      <w:r w:rsidRPr="00627BF0">
        <w:rPr>
          <w:rFonts w:asciiTheme="minorHAnsi" w:hAnsiTheme="minorHAnsi" w:cstheme="minorHAnsi"/>
          <w:sz w:val="22"/>
          <w:szCs w:val="22"/>
          <w:lang w:val="fr-CD"/>
        </w:rPr>
        <w:t>Uvira</w:t>
      </w:r>
      <w:proofErr w:type="spellEnd"/>
      <w:r w:rsidRPr="00627BF0">
        <w:rPr>
          <w:rFonts w:asciiTheme="minorHAnsi" w:hAnsiTheme="minorHAnsi" w:cstheme="minorHAnsi"/>
          <w:sz w:val="22"/>
          <w:szCs w:val="22"/>
          <w:lang w:val="fr-CD"/>
        </w:rPr>
        <w:t xml:space="preserve"> et </w:t>
      </w:r>
      <w:proofErr w:type="spellStart"/>
      <w:r w:rsidRPr="00627BF0">
        <w:rPr>
          <w:rFonts w:asciiTheme="minorHAnsi" w:hAnsiTheme="minorHAnsi" w:cstheme="minorHAnsi"/>
          <w:sz w:val="22"/>
          <w:szCs w:val="22"/>
          <w:lang w:val="fr-CD"/>
        </w:rPr>
        <w:t>Fizi</w:t>
      </w:r>
      <w:proofErr w:type="spellEnd"/>
      <w:r w:rsidRPr="00627BF0">
        <w:rPr>
          <w:rFonts w:asciiTheme="minorHAnsi" w:hAnsiTheme="minorHAnsi" w:cstheme="minorHAnsi"/>
          <w:sz w:val="22"/>
          <w:szCs w:val="22"/>
          <w:lang w:val="fr-CD"/>
        </w:rPr>
        <w:t xml:space="preserve"> ainsi que dans la ville de Bukavu</w:t>
      </w:r>
      <w:r w:rsidRPr="00627BF0">
        <w:rPr>
          <w:rFonts w:asciiTheme="minorHAnsi" w:hAnsiTheme="minorHAnsi" w:cstheme="minorHAnsi"/>
          <w:sz w:val="22"/>
          <w:szCs w:val="22"/>
          <w:lang w:val="fr-FR"/>
        </w:rPr>
        <w:t xml:space="preserve">) ; Province du </w:t>
      </w:r>
      <w:proofErr w:type="spellStart"/>
      <w:r w:rsidRPr="00627BF0">
        <w:rPr>
          <w:rFonts w:asciiTheme="minorHAnsi" w:hAnsiTheme="minorHAnsi" w:cstheme="minorHAnsi"/>
          <w:sz w:val="22"/>
          <w:szCs w:val="22"/>
          <w:lang w:val="fr-FR"/>
        </w:rPr>
        <w:t>Kasai</w:t>
      </w:r>
      <w:proofErr w:type="spellEnd"/>
      <w:r w:rsidRPr="00627BF0">
        <w:rPr>
          <w:rFonts w:asciiTheme="minorHAnsi" w:hAnsiTheme="minorHAnsi" w:cstheme="minorHAnsi"/>
          <w:sz w:val="22"/>
          <w:szCs w:val="22"/>
          <w:lang w:val="fr-FR"/>
        </w:rPr>
        <w:t xml:space="preserve"> (Territoires de </w:t>
      </w:r>
      <w:proofErr w:type="spellStart"/>
      <w:r w:rsidRPr="00627BF0">
        <w:rPr>
          <w:rFonts w:asciiTheme="minorHAnsi" w:hAnsiTheme="minorHAnsi" w:cstheme="minorHAnsi"/>
          <w:sz w:val="22"/>
          <w:szCs w:val="22"/>
          <w:lang w:val="fr-FR"/>
        </w:rPr>
        <w:t>Mweka</w:t>
      </w:r>
      <w:proofErr w:type="spellEnd"/>
      <w:r w:rsidRPr="00627BF0">
        <w:rPr>
          <w:rFonts w:asciiTheme="minorHAnsi" w:hAnsiTheme="minorHAnsi" w:cstheme="minorHAnsi"/>
          <w:sz w:val="22"/>
          <w:szCs w:val="22"/>
          <w:lang w:val="fr-FR"/>
        </w:rPr>
        <w:t>, Territoire de Tshikapa (</w:t>
      </w:r>
      <w:proofErr w:type="spellStart"/>
      <w:r w:rsidRPr="00627BF0">
        <w:rPr>
          <w:rFonts w:asciiTheme="minorHAnsi" w:hAnsiTheme="minorHAnsi" w:cstheme="minorHAnsi"/>
          <w:sz w:val="22"/>
          <w:szCs w:val="22"/>
          <w:lang w:val="fr-FR"/>
        </w:rPr>
        <w:t>Kamako</w:t>
      </w:r>
      <w:proofErr w:type="spellEnd"/>
      <w:r w:rsidRPr="00627BF0">
        <w:rPr>
          <w:rFonts w:asciiTheme="minorHAnsi" w:hAnsiTheme="minorHAnsi" w:cstheme="minorHAnsi"/>
          <w:sz w:val="22"/>
          <w:szCs w:val="22"/>
          <w:lang w:val="fr-FR"/>
        </w:rPr>
        <w:t xml:space="preserve">, </w:t>
      </w:r>
      <w:proofErr w:type="spellStart"/>
      <w:proofErr w:type="gramStart"/>
      <w:r w:rsidRPr="00627BF0">
        <w:rPr>
          <w:rFonts w:asciiTheme="minorHAnsi" w:hAnsiTheme="minorHAnsi" w:cstheme="minorHAnsi"/>
          <w:sz w:val="22"/>
          <w:szCs w:val="22"/>
          <w:lang w:val="fr-FR"/>
        </w:rPr>
        <w:t>Kamonia</w:t>
      </w:r>
      <w:proofErr w:type="spellEnd"/>
      <w:r w:rsidRPr="00627BF0">
        <w:rPr>
          <w:rFonts w:asciiTheme="minorHAnsi" w:hAnsiTheme="minorHAnsi" w:cstheme="minorHAnsi"/>
          <w:sz w:val="22"/>
          <w:szCs w:val="22"/>
          <w:lang w:val="fr-FR"/>
        </w:rPr>
        <w:t>)et</w:t>
      </w:r>
      <w:proofErr w:type="gramEnd"/>
      <w:r w:rsidRPr="00627BF0">
        <w:rPr>
          <w:rFonts w:asciiTheme="minorHAnsi" w:hAnsiTheme="minorHAnsi" w:cstheme="minorHAnsi"/>
          <w:sz w:val="22"/>
          <w:szCs w:val="22"/>
          <w:lang w:val="fr-FR"/>
        </w:rPr>
        <w:t xml:space="preserve"> Tshikapa-ville) et Province de l’</w:t>
      </w:r>
      <w:proofErr w:type="spellStart"/>
      <w:r w:rsidRPr="00627BF0">
        <w:rPr>
          <w:rFonts w:asciiTheme="minorHAnsi" w:hAnsiTheme="minorHAnsi" w:cstheme="minorHAnsi"/>
          <w:sz w:val="22"/>
          <w:szCs w:val="22"/>
          <w:lang w:val="fr-FR"/>
        </w:rPr>
        <w:t>Ituri</w:t>
      </w:r>
      <w:proofErr w:type="spellEnd"/>
      <w:r w:rsidRPr="00627BF0">
        <w:rPr>
          <w:rFonts w:asciiTheme="minorHAnsi" w:hAnsiTheme="minorHAnsi" w:cstheme="minorHAnsi"/>
          <w:sz w:val="22"/>
          <w:szCs w:val="22"/>
          <w:lang w:val="fr-FR"/>
        </w:rPr>
        <w:t xml:space="preserve"> dans la ville de Bunia, Territoires de Mahagi, </w:t>
      </w:r>
      <w:proofErr w:type="spellStart"/>
      <w:r w:rsidRPr="00627BF0">
        <w:rPr>
          <w:rFonts w:asciiTheme="minorHAnsi" w:hAnsiTheme="minorHAnsi" w:cstheme="minorHAnsi"/>
          <w:sz w:val="22"/>
          <w:szCs w:val="22"/>
          <w:lang w:val="fr-FR"/>
        </w:rPr>
        <w:t>Djugu</w:t>
      </w:r>
      <w:proofErr w:type="spellEnd"/>
      <w:r w:rsidRPr="00627BF0">
        <w:rPr>
          <w:rFonts w:asciiTheme="minorHAnsi" w:hAnsiTheme="minorHAnsi" w:cstheme="minorHAnsi"/>
          <w:sz w:val="22"/>
          <w:szCs w:val="22"/>
          <w:lang w:val="fr-FR"/>
        </w:rPr>
        <w:t xml:space="preserve">, </w:t>
      </w:r>
      <w:proofErr w:type="spellStart"/>
      <w:r w:rsidRPr="00627BF0">
        <w:rPr>
          <w:rFonts w:asciiTheme="minorHAnsi" w:hAnsiTheme="minorHAnsi" w:cstheme="minorHAnsi"/>
          <w:sz w:val="22"/>
          <w:szCs w:val="22"/>
          <w:lang w:val="fr-FR"/>
        </w:rPr>
        <w:t>Irumu</w:t>
      </w:r>
      <w:proofErr w:type="spellEnd"/>
      <w:r w:rsidRPr="00627BF0">
        <w:rPr>
          <w:rFonts w:asciiTheme="minorHAnsi" w:hAnsiTheme="minorHAnsi" w:cstheme="minorHAnsi"/>
          <w:sz w:val="22"/>
          <w:szCs w:val="22"/>
          <w:lang w:val="fr-FR"/>
        </w:rPr>
        <w:t xml:space="preserve">, </w:t>
      </w:r>
      <w:proofErr w:type="spellStart"/>
      <w:r w:rsidRPr="00627BF0">
        <w:rPr>
          <w:rFonts w:asciiTheme="minorHAnsi" w:hAnsiTheme="minorHAnsi" w:cstheme="minorHAnsi"/>
          <w:sz w:val="22"/>
          <w:szCs w:val="22"/>
          <w:lang w:val="fr-FR"/>
        </w:rPr>
        <w:t>Mambasa</w:t>
      </w:r>
      <w:proofErr w:type="spellEnd"/>
      <w:r w:rsidRPr="00627BF0">
        <w:rPr>
          <w:rFonts w:asciiTheme="minorHAnsi" w:hAnsiTheme="minorHAnsi" w:cstheme="minorHAnsi"/>
          <w:sz w:val="22"/>
          <w:szCs w:val="22"/>
          <w:lang w:val="fr-FR"/>
        </w:rPr>
        <w:t xml:space="preserve"> et Beni territoire et Beni Ville</w:t>
      </w:r>
      <w:r w:rsidRPr="00627BF0">
        <w:rPr>
          <w:rStyle w:val="hps"/>
          <w:rFonts w:asciiTheme="minorHAnsi" w:hAnsiTheme="minorHAnsi" w:cstheme="minorHAnsi"/>
          <w:color w:val="222222"/>
          <w:sz w:val="22"/>
          <w:szCs w:val="22"/>
          <w:lang w:val="fr-FR"/>
        </w:rPr>
        <w:t xml:space="preserve">. </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b/>
          <w:lang w:val="fr-FR"/>
        </w:rPr>
        <w:t>8. Les partenaires :</w:t>
      </w:r>
      <w:r w:rsidRPr="00627BF0">
        <w:rPr>
          <w:rFonts w:asciiTheme="minorHAnsi" w:hAnsiTheme="minorHAnsi" w:cstheme="minorHAnsi"/>
          <w:lang w:val="fr-FR"/>
        </w:rPr>
        <w:t xml:space="preserve"> Depuis sa création en 2009, APC a développé des partenariats avec des Organisations internationales (Interpeace, Mercy Corps, ZOA, Life and </w:t>
      </w:r>
      <w:proofErr w:type="spellStart"/>
      <w:r w:rsidRPr="00627BF0">
        <w:rPr>
          <w:rFonts w:asciiTheme="minorHAnsi" w:hAnsiTheme="minorHAnsi" w:cstheme="minorHAnsi"/>
          <w:lang w:val="fr-FR"/>
        </w:rPr>
        <w:t>Peace</w:t>
      </w:r>
      <w:proofErr w:type="spellEnd"/>
      <w:r w:rsidRPr="00627BF0">
        <w:rPr>
          <w:rFonts w:asciiTheme="minorHAnsi" w:hAnsiTheme="minorHAnsi" w:cstheme="minorHAnsi"/>
          <w:lang w:val="fr-FR"/>
        </w:rPr>
        <w:t>, CORDAID), des Agences de Nations Unies (</w:t>
      </w:r>
      <w:proofErr w:type="spellStart"/>
      <w:r w:rsidRPr="00627BF0">
        <w:rPr>
          <w:rFonts w:asciiTheme="minorHAnsi" w:hAnsiTheme="minorHAnsi" w:cstheme="minorHAnsi"/>
          <w:lang w:val="fr-FR"/>
        </w:rPr>
        <w:t>UnHabitat</w:t>
      </w:r>
      <w:proofErr w:type="spellEnd"/>
      <w:r w:rsidRPr="00627BF0">
        <w:rPr>
          <w:rFonts w:asciiTheme="minorHAnsi" w:hAnsiTheme="minorHAnsi" w:cstheme="minorHAnsi"/>
          <w:lang w:val="fr-FR"/>
        </w:rPr>
        <w:t xml:space="preserve"> et UNICEF), les Ambassades et Coopérations de certains pays (Département Fédéral des Affaires Etrangères Suisse, GIZ-</w:t>
      </w:r>
      <w:proofErr w:type="spellStart"/>
      <w:r w:rsidRPr="00627BF0">
        <w:rPr>
          <w:rFonts w:asciiTheme="minorHAnsi" w:hAnsiTheme="minorHAnsi" w:cstheme="minorHAnsi"/>
          <w:lang w:val="fr-FR"/>
        </w:rPr>
        <w:t>ProPaix</w:t>
      </w:r>
      <w:proofErr w:type="spellEnd"/>
      <w:r w:rsidRPr="00627BF0">
        <w:rPr>
          <w:rFonts w:asciiTheme="minorHAnsi" w:hAnsiTheme="minorHAnsi" w:cstheme="minorHAnsi"/>
          <w:lang w:val="fr-FR"/>
        </w:rPr>
        <w:t xml:space="preserve">, GIZ- Service Civil pour la Paix), Union </w:t>
      </w:r>
      <w:proofErr w:type="spellStart"/>
      <w:r w:rsidRPr="00627BF0">
        <w:rPr>
          <w:rFonts w:asciiTheme="minorHAnsi" w:hAnsiTheme="minorHAnsi" w:cstheme="minorHAnsi"/>
          <w:lang w:val="fr-FR"/>
        </w:rPr>
        <w:t>Europpénne</w:t>
      </w:r>
      <w:proofErr w:type="spellEnd"/>
      <w:r w:rsidRPr="00627BF0">
        <w:rPr>
          <w:rFonts w:asciiTheme="minorHAnsi" w:hAnsiTheme="minorHAnsi" w:cstheme="minorHAnsi"/>
          <w:lang w:val="fr-FR"/>
        </w:rPr>
        <w:t>, et les institutions étatiques en RDC notamment le STAREC (Programme de Stabilisation et Reconstruction de l’Est de la RDC) et les Nations Unies ( la MONUSCO SSU, MONUSCO CVR, les Fonds du Secrétaire Général des Nations Unies pour la Consolidation de la Paix, PBF.</w:t>
      </w: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spacing w:after="0"/>
        <w:jc w:val="both"/>
        <w:rPr>
          <w:rFonts w:asciiTheme="minorHAnsi" w:hAnsiTheme="minorHAnsi" w:cstheme="minorHAnsi"/>
          <w:b/>
          <w:lang w:val="fr-FR"/>
        </w:rPr>
      </w:pPr>
      <w:r w:rsidRPr="00627BF0">
        <w:rPr>
          <w:rFonts w:asciiTheme="minorHAnsi" w:hAnsiTheme="minorHAnsi" w:cstheme="minorHAnsi"/>
          <w:b/>
          <w:lang w:val="fr-FR"/>
        </w:rPr>
        <w:t xml:space="preserve">8. </w:t>
      </w:r>
      <w:r w:rsidR="005456DF">
        <w:rPr>
          <w:rFonts w:asciiTheme="minorHAnsi" w:hAnsiTheme="minorHAnsi" w:cstheme="minorHAnsi"/>
          <w:b/>
          <w:lang w:val="fr-FR"/>
        </w:rPr>
        <w:t>Projets et partenaires pour 2023-2024</w:t>
      </w:r>
    </w:p>
    <w:p w:rsidR="001750B9" w:rsidRPr="00627BF0" w:rsidRDefault="001750B9" w:rsidP="00627BF0">
      <w:pPr>
        <w:spacing w:after="0"/>
        <w:jc w:val="both"/>
        <w:rPr>
          <w:rFonts w:asciiTheme="minorHAnsi" w:hAnsiTheme="minorHAnsi" w:cstheme="minorHAnsi"/>
          <w:b/>
          <w:lang w:val="fr-FR"/>
        </w:rPr>
      </w:pPr>
    </w:p>
    <w:p w:rsidR="001750B9" w:rsidRPr="00627BF0" w:rsidRDefault="001750B9" w:rsidP="00627BF0">
      <w:pPr>
        <w:spacing w:after="0"/>
        <w:jc w:val="both"/>
        <w:rPr>
          <w:rFonts w:asciiTheme="minorHAnsi" w:hAnsiTheme="minorHAnsi" w:cstheme="minorHAnsi"/>
          <w:b/>
          <w:lang w:val="fr-FR"/>
        </w:rPr>
      </w:pPr>
    </w:p>
    <w:tbl>
      <w:tblPr>
        <w:tblW w:w="105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776"/>
        <w:gridCol w:w="2970"/>
        <w:gridCol w:w="1620"/>
        <w:gridCol w:w="2610"/>
      </w:tblGrid>
      <w:tr w:rsidR="001750B9" w:rsidRPr="00627BF0" w:rsidTr="00C866C0">
        <w:tc>
          <w:tcPr>
            <w:tcW w:w="597"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lastRenderedPageBreak/>
              <w:t>N°</w:t>
            </w:r>
          </w:p>
        </w:tc>
        <w:tc>
          <w:tcPr>
            <w:tcW w:w="2776"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TITRE DU  PROJET</w:t>
            </w:r>
          </w:p>
        </w:tc>
        <w:tc>
          <w:tcPr>
            <w:tcW w:w="2970"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ZONE D’INTERVENTION</w:t>
            </w:r>
          </w:p>
        </w:tc>
        <w:tc>
          <w:tcPr>
            <w:tcW w:w="1620"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BUDGET</w:t>
            </w:r>
          </w:p>
        </w:tc>
        <w:tc>
          <w:tcPr>
            <w:tcW w:w="2610"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 xml:space="preserve">PARTENAIRE FINANCIER </w:t>
            </w:r>
          </w:p>
        </w:tc>
      </w:tr>
      <w:tr w:rsidR="001750B9" w:rsidRPr="00627BF0" w:rsidTr="00C866C0">
        <w:trPr>
          <w:trHeight w:val="953"/>
        </w:trPr>
        <w:tc>
          <w:tcPr>
            <w:tcW w:w="597"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1</w:t>
            </w:r>
          </w:p>
        </w:tc>
        <w:tc>
          <w:tcPr>
            <w:tcW w:w="2776"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sz w:val="24"/>
                <w:szCs w:val="24"/>
                <w:lang w:val="fr-FR"/>
              </w:rPr>
              <w:t>Programme de Dialogue Transfrontalier pour la Consolidation de la Paix dans la Région de Grand Lacs</w:t>
            </w:r>
          </w:p>
        </w:tc>
        <w:tc>
          <w:tcPr>
            <w:tcW w:w="297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Pays des Grand-Lacs (Rwanda, Burundi et Provinces du Nord-Kivu et du Sud-Kivu à l’Est de la RD Congo)</w:t>
            </w:r>
          </w:p>
        </w:tc>
        <w:tc>
          <w:tcPr>
            <w:tcW w:w="1620" w:type="dxa"/>
          </w:tcPr>
          <w:p w:rsidR="001750B9" w:rsidRPr="00627BF0" w:rsidRDefault="001750B9" w:rsidP="00627BF0">
            <w:pPr>
              <w:rPr>
                <w:rFonts w:asciiTheme="minorHAnsi" w:hAnsiTheme="minorHAnsi" w:cstheme="minorHAnsi"/>
                <w:sz w:val="24"/>
                <w:szCs w:val="24"/>
                <w:lang w:val="fr-FR"/>
              </w:rPr>
            </w:pPr>
            <w:r w:rsidRPr="00627BF0">
              <w:rPr>
                <w:rFonts w:asciiTheme="minorHAnsi" w:eastAsia="Times New Roman" w:hAnsiTheme="minorHAnsi" w:cstheme="minorHAnsi"/>
                <w:b/>
                <w:bCs/>
                <w:lang w:val="fr-FR"/>
              </w:rPr>
              <w:t>565.870 USD</w:t>
            </w:r>
          </w:p>
        </w:tc>
        <w:tc>
          <w:tcPr>
            <w:tcW w:w="261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rPr>
              <w:t>INTERPEACE</w:t>
            </w:r>
          </w:p>
        </w:tc>
      </w:tr>
      <w:tr w:rsidR="001750B9" w:rsidRPr="000E1BB4" w:rsidTr="00C866C0">
        <w:tc>
          <w:tcPr>
            <w:tcW w:w="597"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2</w:t>
            </w:r>
          </w:p>
        </w:tc>
        <w:tc>
          <w:tcPr>
            <w:tcW w:w="2776"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sz w:val="24"/>
                <w:szCs w:val="24"/>
                <w:lang w:val="fr-FR"/>
              </w:rPr>
              <w:t xml:space="preserve">Programme Tujenge </w:t>
            </w:r>
            <w:proofErr w:type="spellStart"/>
            <w:r w:rsidRPr="00627BF0">
              <w:rPr>
                <w:rFonts w:asciiTheme="minorHAnsi" w:hAnsiTheme="minorHAnsi" w:cstheme="minorHAnsi"/>
                <w:sz w:val="24"/>
                <w:szCs w:val="24"/>
                <w:lang w:val="fr-FR"/>
              </w:rPr>
              <w:t>Amani</w:t>
            </w:r>
            <w:proofErr w:type="spellEnd"/>
            <w:r w:rsidRPr="00627BF0">
              <w:rPr>
                <w:rFonts w:asciiTheme="minorHAnsi" w:hAnsiTheme="minorHAnsi" w:cstheme="minorHAnsi"/>
                <w:sz w:val="24"/>
                <w:szCs w:val="24"/>
                <w:lang w:val="fr-FR"/>
              </w:rPr>
              <w:t> !</w:t>
            </w:r>
          </w:p>
        </w:tc>
        <w:tc>
          <w:tcPr>
            <w:tcW w:w="297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 xml:space="preserve">Territoires de Kalehe (axe Bunyakiri et </w:t>
            </w:r>
            <w:proofErr w:type="spellStart"/>
            <w:r w:rsidRPr="00627BF0">
              <w:rPr>
                <w:rFonts w:asciiTheme="minorHAnsi" w:hAnsiTheme="minorHAnsi" w:cstheme="minorHAnsi"/>
                <w:sz w:val="24"/>
                <w:szCs w:val="24"/>
                <w:lang w:val="fr-FR"/>
              </w:rPr>
              <w:t>Katasomwa</w:t>
            </w:r>
            <w:proofErr w:type="spellEnd"/>
            <w:r w:rsidRPr="00627BF0">
              <w:rPr>
                <w:rFonts w:asciiTheme="minorHAnsi" w:hAnsiTheme="minorHAnsi" w:cstheme="minorHAnsi"/>
                <w:sz w:val="24"/>
                <w:szCs w:val="24"/>
                <w:lang w:val="fr-FR"/>
              </w:rPr>
              <w:t xml:space="preserve">), de </w:t>
            </w:r>
            <w:proofErr w:type="spellStart"/>
            <w:r w:rsidRPr="00627BF0">
              <w:rPr>
                <w:rFonts w:asciiTheme="minorHAnsi" w:hAnsiTheme="minorHAnsi" w:cstheme="minorHAnsi"/>
                <w:sz w:val="24"/>
                <w:szCs w:val="24"/>
                <w:lang w:val="fr-FR"/>
              </w:rPr>
              <w:t>Shabunda</w:t>
            </w:r>
            <w:proofErr w:type="spellEnd"/>
            <w:r w:rsidRPr="00627BF0">
              <w:rPr>
                <w:rFonts w:asciiTheme="minorHAnsi" w:hAnsiTheme="minorHAnsi" w:cstheme="minorHAnsi"/>
                <w:sz w:val="24"/>
                <w:szCs w:val="24"/>
                <w:lang w:val="fr-FR"/>
              </w:rPr>
              <w:t xml:space="preserve"> et de </w:t>
            </w:r>
            <w:proofErr w:type="spellStart"/>
            <w:r w:rsidRPr="00627BF0">
              <w:rPr>
                <w:rFonts w:asciiTheme="minorHAnsi" w:hAnsiTheme="minorHAnsi" w:cstheme="minorHAnsi"/>
                <w:sz w:val="24"/>
                <w:szCs w:val="24"/>
                <w:lang w:val="fr-FR"/>
              </w:rPr>
              <w:t>Walikale</w:t>
            </w:r>
            <w:proofErr w:type="spellEnd"/>
          </w:p>
        </w:tc>
        <w:tc>
          <w:tcPr>
            <w:tcW w:w="162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498.000 USD</w:t>
            </w:r>
          </w:p>
        </w:tc>
        <w:tc>
          <w:tcPr>
            <w:tcW w:w="2610" w:type="dxa"/>
          </w:tcPr>
          <w:p w:rsidR="001750B9" w:rsidRPr="00627BF0" w:rsidRDefault="000E1BB4" w:rsidP="000E1BB4">
            <w:pPr>
              <w:rPr>
                <w:rFonts w:asciiTheme="minorHAnsi" w:hAnsiTheme="minorHAnsi" w:cstheme="minorHAnsi"/>
                <w:sz w:val="24"/>
                <w:szCs w:val="24"/>
                <w:lang w:val="fr-FR"/>
              </w:rPr>
            </w:pPr>
            <w:r>
              <w:rPr>
                <w:rFonts w:asciiTheme="minorHAnsi" w:hAnsiTheme="minorHAnsi" w:cstheme="minorHAnsi"/>
                <w:sz w:val="24"/>
                <w:szCs w:val="24"/>
                <w:lang w:val="fr-FR"/>
              </w:rPr>
              <w:t xml:space="preserve">Département Fédéral des Affaires Etrangères Suisse à travers son </w:t>
            </w:r>
            <w:r w:rsidR="001750B9" w:rsidRPr="00627BF0">
              <w:rPr>
                <w:rFonts w:asciiTheme="minorHAnsi" w:hAnsiTheme="minorHAnsi" w:cstheme="minorHAnsi"/>
                <w:sz w:val="24"/>
                <w:szCs w:val="24"/>
                <w:lang w:val="fr-FR"/>
              </w:rPr>
              <w:t>A</w:t>
            </w:r>
            <w:r>
              <w:rPr>
                <w:rFonts w:asciiTheme="minorHAnsi" w:hAnsiTheme="minorHAnsi" w:cstheme="minorHAnsi"/>
                <w:sz w:val="24"/>
                <w:szCs w:val="24"/>
                <w:lang w:val="fr-FR"/>
              </w:rPr>
              <w:t>mbassade à Kinshasa</w:t>
            </w:r>
          </w:p>
        </w:tc>
      </w:tr>
      <w:tr w:rsidR="001750B9" w:rsidRPr="005456DF" w:rsidTr="00C866C0">
        <w:trPr>
          <w:trHeight w:val="1390"/>
        </w:trPr>
        <w:tc>
          <w:tcPr>
            <w:tcW w:w="597"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 xml:space="preserve">3 </w:t>
            </w:r>
          </w:p>
        </w:tc>
        <w:tc>
          <w:tcPr>
            <w:tcW w:w="2776"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Renforcement de la gouvernance pour la paix en RDC</w:t>
            </w:r>
          </w:p>
        </w:tc>
        <w:tc>
          <w:tcPr>
            <w:tcW w:w="297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 xml:space="preserve">Province du Kasaï dans les sites de </w:t>
            </w:r>
            <w:proofErr w:type="spellStart"/>
            <w:r w:rsidRPr="00627BF0">
              <w:rPr>
                <w:rFonts w:asciiTheme="minorHAnsi" w:hAnsiTheme="minorHAnsi" w:cstheme="minorHAnsi"/>
                <w:sz w:val="24"/>
                <w:szCs w:val="24"/>
                <w:lang w:val="fr-FR"/>
              </w:rPr>
              <w:t>Kamako</w:t>
            </w:r>
            <w:proofErr w:type="spellEnd"/>
            <w:r w:rsidRPr="00627BF0">
              <w:rPr>
                <w:rFonts w:asciiTheme="minorHAnsi" w:hAnsiTheme="minorHAnsi" w:cstheme="minorHAnsi"/>
                <w:sz w:val="24"/>
                <w:szCs w:val="24"/>
                <w:lang w:val="fr-FR"/>
              </w:rPr>
              <w:t xml:space="preserve">, </w:t>
            </w:r>
            <w:proofErr w:type="spellStart"/>
            <w:r w:rsidRPr="00627BF0">
              <w:rPr>
                <w:rFonts w:asciiTheme="minorHAnsi" w:hAnsiTheme="minorHAnsi" w:cstheme="minorHAnsi"/>
                <w:sz w:val="24"/>
                <w:szCs w:val="24"/>
                <w:lang w:val="fr-FR"/>
              </w:rPr>
              <w:t>Kakenge</w:t>
            </w:r>
            <w:proofErr w:type="spellEnd"/>
            <w:r w:rsidRPr="00627BF0">
              <w:rPr>
                <w:rFonts w:asciiTheme="minorHAnsi" w:hAnsiTheme="minorHAnsi" w:cstheme="minorHAnsi"/>
                <w:sz w:val="24"/>
                <w:szCs w:val="24"/>
                <w:lang w:val="fr-FR"/>
              </w:rPr>
              <w:t xml:space="preserve">, </w:t>
            </w:r>
            <w:proofErr w:type="spellStart"/>
            <w:r w:rsidRPr="00627BF0">
              <w:rPr>
                <w:rFonts w:asciiTheme="minorHAnsi" w:hAnsiTheme="minorHAnsi" w:cstheme="minorHAnsi"/>
                <w:sz w:val="24"/>
                <w:szCs w:val="24"/>
                <w:lang w:val="fr-FR"/>
              </w:rPr>
              <w:t>Kamonia</w:t>
            </w:r>
            <w:proofErr w:type="spellEnd"/>
            <w:r w:rsidRPr="00627BF0">
              <w:rPr>
                <w:rFonts w:asciiTheme="minorHAnsi" w:hAnsiTheme="minorHAnsi" w:cstheme="minorHAnsi"/>
                <w:sz w:val="24"/>
                <w:szCs w:val="24"/>
                <w:lang w:val="fr-FR"/>
              </w:rPr>
              <w:t xml:space="preserve"> et Tshikapa ville.</w:t>
            </w:r>
          </w:p>
        </w:tc>
        <w:tc>
          <w:tcPr>
            <w:tcW w:w="162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650.000 USD</w:t>
            </w:r>
          </w:p>
        </w:tc>
        <w:tc>
          <w:tcPr>
            <w:tcW w:w="261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INTERPEACE avec financement de de l’Agence Suédoise de Développement(SIDA)</w:t>
            </w:r>
          </w:p>
        </w:tc>
      </w:tr>
      <w:tr w:rsidR="001750B9" w:rsidRPr="00627BF0" w:rsidTr="00C866C0">
        <w:tc>
          <w:tcPr>
            <w:tcW w:w="597"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4</w:t>
            </w:r>
          </w:p>
        </w:tc>
        <w:tc>
          <w:tcPr>
            <w:tcW w:w="2776"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lang w:val="fr-FR"/>
              </w:rPr>
              <w:t>Renforcement de la résilience communautaire à travers les structures de paix engagées dans les actions de transformation des conflits</w:t>
            </w:r>
          </w:p>
        </w:tc>
        <w:tc>
          <w:tcPr>
            <w:tcW w:w="297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lang w:val="fr-FR"/>
              </w:rPr>
              <w:t xml:space="preserve">Territoire de Kalehe ( Bitale, </w:t>
            </w:r>
            <w:proofErr w:type="spellStart"/>
            <w:r w:rsidRPr="00627BF0">
              <w:rPr>
                <w:rFonts w:asciiTheme="minorHAnsi" w:hAnsiTheme="minorHAnsi" w:cstheme="minorHAnsi"/>
                <w:lang w:val="fr-FR"/>
              </w:rPr>
              <w:t>Bushaku</w:t>
            </w:r>
            <w:proofErr w:type="spellEnd"/>
            <w:r w:rsidRPr="00627BF0">
              <w:rPr>
                <w:rFonts w:asciiTheme="minorHAnsi" w:hAnsiTheme="minorHAnsi" w:cstheme="minorHAnsi"/>
                <w:lang w:val="fr-FR"/>
              </w:rPr>
              <w:t xml:space="preserve">, </w:t>
            </w:r>
            <w:proofErr w:type="spellStart"/>
            <w:r w:rsidRPr="00627BF0">
              <w:rPr>
                <w:rFonts w:asciiTheme="minorHAnsi" w:hAnsiTheme="minorHAnsi" w:cstheme="minorHAnsi"/>
                <w:lang w:val="fr-FR"/>
              </w:rPr>
              <w:t>Cirimiro,Katasomwa</w:t>
            </w:r>
            <w:proofErr w:type="spellEnd"/>
            <w:r w:rsidRPr="00627BF0">
              <w:rPr>
                <w:rFonts w:asciiTheme="minorHAnsi" w:hAnsiTheme="minorHAnsi" w:cstheme="minorHAnsi"/>
                <w:lang w:val="fr-FR"/>
              </w:rPr>
              <w:t xml:space="preserve">, </w:t>
            </w:r>
            <w:proofErr w:type="spellStart"/>
            <w:r w:rsidRPr="00627BF0">
              <w:rPr>
                <w:rFonts w:asciiTheme="minorHAnsi" w:hAnsiTheme="minorHAnsi" w:cstheme="minorHAnsi"/>
                <w:lang w:val="fr-FR"/>
              </w:rPr>
              <w:t>Fumya</w:t>
            </w:r>
            <w:proofErr w:type="spellEnd"/>
            <w:r w:rsidRPr="00627BF0">
              <w:rPr>
                <w:rFonts w:asciiTheme="minorHAnsi" w:hAnsiTheme="minorHAnsi" w:cstheme="minorHAnsi"/>
                <w:lang w:val="fr-FR"/>
              </w:rPr>
              <w:t xml:space="preserve">, </w:t>
            </w:r>
            <w:proofErr w:type="spellStart"/>
            <w:r w:rsidRPr="00627BF0">
              <w:rPr>
                <w:rFonts w:asciiTheme="minorHAnsi" w:hAnsiTheme="minorHAnsi" w:cstheme="minorHAnsi"/>
                <w:lang w:val="fr-FR"/>
              </w:rPr>
              <w:t>Lemera</w:t>
            </w:r>
            <w:proofErr w:type="spellEnd"/>
            <w:r w:rsidRPr="00627BF0">
              <w:rPr>
                <w:rFonts w:asciiTheme="minorHAnsi" w:hAnsiTheme="minorHAnsi" w:cstheme="minorHAnsi"/>
                <w:lang w:val="fr-FR"/>
              </w:rPr>
              <w:t xml:space="preserve">, </w:t>
            </w:r>
            <w:proofErr w:type="spellStart"/>
            <w:r w:rsidRPr="00627BF0">
              <w:rPr>
                <w:rFonts w:asciiTheme="minorHAnsi" w:hAnsiTheme="minorHAnsi" w:cstheme="minorHAnsi"/>
                <w:lang w:val="fr-FR"/>
              </w:rPr>
              <w:t>Mulonge</w:t>
            </w:r>
            <w:proofErr w:type="spellEnd"/>
            <w:r w:rsidRPr="00627BF0">
              <w:rPr>
                <w:rFonts w:asciiTheme="minorHAnsi" w:hAnsiTheme="minorHAnsi" w:cstheme="minorHAnsi"/>
                <w:lang w:val="fr-FR"/>
              </w:rPr>
              <w:t xml:space="preserve">, </w:t>
            </w:r>
            <w:proofErr w:type="spellStart"/>
            <w:r w:rsidRPr="00627BF0">
              <w:rPr>
                <w:rFonts w:asciiTheme="minorHAnsi" w:hAnsiTheme="minorHAnsi" w:cstheme="minorHAnsi"/>
                <w:lang w:val="fr-FR"/>
              </w:rPr>
              <w:t>Mushunguti</w:t>
            </w:r>
            <w:proofErr w:type="spellEnd"/>
            <w:r w:rsidRPr="00627BF0">
              <w:rPr>
                <w:rFonts w:asciiTheme="minorHAnsi" w:hAnsiTheme="minorHAnsi" w:cstheme="minorHAnsi"/>
                <w:lang w:val="fr-FR"/>
              </w:rPr>
              <w:t xml:space="preserve"> et </w:t>
            </w:r>
            <w:proofErr w:type="spellStart"/>
            <w:r w:rsidRPr="00627BF0">
              <w:rPr>
                <w:rFonts w:asciiTheme="minorHAnsi" w:hAnsiTheme="minorHAnsi" w:cstheme="minorHAnsi"/>
                <w:lang w:val="fr-FR"/>
              </w:rPr>
              <w:t>Ramba</w:t>
            </w:r>
            <w:proofErr w:type="spellEnd"/>
          </w:p>
        </w:tc>
        <w:tc>
          <w:tcPr>
            <w:tcW w:w="162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99.500 USD</w:t>
            </w:r>
          </w:p>
        </w:tc>
        <w:tc>
          <w:tcPr>
            <w:tcW w:w="261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GIZ PROPAIX</w:t>
            </w:r>
          </w:p>
        </w:tc>
      </w:tr>
      <w:tr w:rsidR="001750B9" w:rsidRPr="005456DF"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5</w:t>
            </w:r>
          </w:p>
        </w:tc>
        <w:tc>
          <w:tcPr>
            <w:tcW w:w="2776"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 xml:space="preserve">Projet de renforcement de la Résilience et la paix en  </w:t>
            </w:r>
            <w:proofErr w:type="spellStart"/>
            <w:r w:rsidRPr="00627BF0">
              <w:rPr>
                <w:rFonts w:asciiTheme="minorHAnsi" w:hAnsiTheme="minorHAnsi" w:cstheme="minorHAnsi"/>
                <w:sz w:val="24"/>
                <w:szCs w:val="24"/>
                <w:lang w:val="fr-FR"/>
              </w:rPr>
              <w:t>Ituri</w:t>
            </w:r>
            <w:proofErr w:type="spellEnd"/>
            <w:r w:rsidRPr="00627BF0">
              <w:rPr>
                <w:rFonts w:asciiTheme="minorHAnsi" w:hAnsiTheme="minorHAnsi" w:cstheme="minorHAnsi"/>
                <w:sz w:val="24"/>
                <w:szCs w:val="24"/>
                <w:lang w:val="fr-FR"/>
              </w:rPr>
              <w:t xml:space="preserve"> et dans le Grand Nord-Kivu</w:t>
            </w:r>
          </w:p>
        </w:tc>
        <w:tc>
          <w:tcPr>
            <w:tcW w:w="297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 xml:space="preserve">Ville de Bunia, Territoires de Mahagi, </w:t>
            </w:r>
            <w:proofErr w:type="spellStart"/>
            <w:r w:rsidRPr="00627BF0">
              <w:rPr>
                <w:rFonts w:asciiTheme="minorHAnsi" w:hAnsiTheme="minorHAnsi" w:cstheme="minorHAnsi"/>
                <w:sz w:val="24"/>
                <w:szCs w:val="24"/>
                <w:lang w:val="fr-FR"/>
              </w:rPr>
              <w:t>Djugu</w:t>
            </w:r>
            <w:proofErr w:type="spellEnd"/>
            <w:r w:rsidRPr="00627BF0">
              <w:rPr>
                <w:rFonts w:asciiTheme="minorHAnsi" w:hAnsiTheme="minorHAnsi" w:cstheme="minorHAnsi"/>
                <w:sz w:val="24"/>
                <w:szCs w:val="24"/>
                <w:lang w:val="fr-FR"/>
              </w:rPr>
              <w:t xml:space="preserve">, </w:t>
            </w:r>
            <w:proofErr w:type="spellStart"/>
            <w:r w:rsidRPr="00627BF0">
              <w:rPr>
                <w:rFonts w:asciiTheme="minorHAnsi" w:hAnsiTheme="minorHAnsi" w:cstheme="minorHAnsi"/>
                <w:sz w:val="24"/>
                <w:szCs w:val="24"/>
                <w:lang w:val="fr-FR"/>
              </w:rPr>
              <w:t>Irumu</w:t>
            </w:r>
            <w:proofErr w:type="spellEnd"/>
            <w:r w:rsidRPr="00627BF0">
              <w:rPr>
                <w:rFonts w:asciiTheme="minorHAnsi" w:hAnsiTheme="minorHAnsi" w:cstheme="minorHAnsi"/>
                <w:sz w:val="24"/>
                <w:szCs w:val="24"/>
                <w:lang w:val="fr-FR"/>
              </w:rPr>
              <w:t xml:space="preserve">, </w:t>
            </w:r>
            <w:proofErr w:type="spellStart"/>
            <w:r w:rsidRPr="00627BF0">
              <w:rPr>
                <w:rFonts w:asciiTheme="minorHAnsi" w:hAnsiTheme="minorHAnsi" w:cstheme="minorHAnsi"/>
                <w:sz w:val="24"/>
                <w:szCs w:val="24"/>
                <w:lang w:val="fr-FR"/>
              </w:rPr>
              <w:t>Mambasa</w:t>
            </w:r>
            <w:proofErr w:type="spellEnd"/>
            <w:r w:rsidRPr="00627BF0">
              <w:rPr>
                <w:rFonts w:asciiTheme="minorHAnsi" w:hAnsiTheme="minorHAnsi" w:cstheme="minorHAnsi"/>
                <w:sz w:val="24"/>
                <w:szCs w:val="24"/>
                <w:lang w:val="fr-FR"/>
              </w:rPr>
              <w:t xml:space="preserve"> et Beni territoire et Beni Ville</w:t>
            </w:r>
          </w:p>
        </w:tc>
        <w:tc>
          <w:tcPr>
            <w:tcW w:w="162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946.806 EURO</w:t>
            </w:r>
          </w:p>
        </w:tc>
        <w:tc>
          <w:tcPr>
            <w:tcW w:w="261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Fonds de l’Union Européenne au Consortium INTERPEACE-Pole Institute-APC- Université de New York.</w:t>
            </w:r>
          </w:p>
        </w:tc>
      </w:tr>
      <w:tr w:rsidR="001750B9" w:rsidRPr="00627BF0"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6</w:t>
            </w:r>
          </w:p>
        </w:tc>
        <w:tc>
          <w:tcPr>
            <w:tcW w:w="2776" w:type="dxa"/>
            <w:vAlign w:val="bottom"/>
          </w:tcPr>
          <w:p w:rsidR="001750B9" w:rsidRPr="00627BF0" w:rsidRDefault="001750B9" w:rsidP="00627BF0">
            <w:pPr>
              <w:rPr>
                <w:rFonts w:asciiTheme="minorHAnsi" w:hAnsiTheme="minorHAnsi" w:cstheme="minorHAnsi"/>
                <w:lang w:val="fr-FR"/>
              </w:rPr>
            </w:pPr>
            <w:r w:rsidRPr="00627BF0">
              <w:rPr>
                <w:rFonts w:asciiTheme="minorHAnsi" w:hAnsiTheme="minorHAnsi" w:cstheme="minorHAnsi"/>
                <w:lang w:val="fr-FR"/>
              </w:rPr>
              <w:t>Projet  d’Elaboration de la Stratégie Provinciale d’Intervention Foncière SPIF/TRIDE</w:t>
            </w:r>
          </w:p>
        </w:tc>
        <w:tc>
          <w:tcPr>
            <w:tcW w:w="2970" w:type="dxa"/>
            <w:vAlign w:val="bottom"/>
          </w:tcPr>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bCs/>
                <w:lang w:val="fr-FR"/>
              </w:rPr>
              <w:t xml:space="preserve">Groupements de </w:t>
            </w:r>
            <w:proofErr w:type="spellStart"/>
            <w:r w:rsidRPr="00627BF0">
              <w:rPr>
                <w:rFonts w:asciiTheme="minorHAnsi" w:hAnsiTheme="minorHAnsi" w:cstheme="minorHAnsi"/>
                <w:bCs/>
                <w:lang w:val="fr-FR"/>
              </w:rPr>
              <w:t>Mbinga</w:t>
            </w:r>
            <w:proofErr w:type="spellEnd"/>
            <w:r w:rsidRPr="00627BF0">
              <w:rPr>
                <w:rFonts w:asciiTheme="minorHAnsi" w:hAnsiTheme="minorHAnsi" w:cstheme="minorHAnsi"/>
                <w:bCs/>
                <w:lang w:val="fr-FR"/>
              </w:rPr>
              <w:t xml:space="preserve"> sud en Chefferie de </w:t>
            </w:r>
            <w:proofErr w:type="spellStart"/>
            <w:r w:rsidRPr="00627BF0">
              <w:rPr>
                <w:rFonts w:asciiTheme="minorHAnsi" w:hAnsiTheme="minorHAnsi" w:cstheme="minorHAnsi"/>
                <w:bCs/>
                <w:lang w:val="fr-FR"/>
              </w:rPr>
              <w:t>Buhavu</w:t>
            </w:r>
            <w:proofErr w:type="spellEnd"/>
            <w:r w:rsidRPr="00627BF0">
              <w:rPr>
                <w:rFonts w:asciiTheme="minorHAnsi" w:hAnsiTheme="minorHAnsi" w:cstheme="minorHAnsi"/>
                <w:bCs/>
                <w:lang w:val="fr-FR"/>
              </w:rPr>
              <w:t xml:space="preserve"> et de Itara-</w:t>
            </w:r>
            <w:proofErr w:type="spellStart"/>
            <w:r w:rsidRPr="00627BF0">
              <w:rPr>
                <w:rFonts w:asciiTheme="minorHAnsi" w:hAnsiTheme="minorHAnsi" w:cstheme="minorHAnsi"/>
                <w:bCs/>
                <w:lang w:val="fr-FR"/>
              </w:rPr>
              <w:t>Luvunvi</w:t>
            </w:r>
            <w:proofErr w:type="spellEnd"/>
            <w:r w:rsidRPr="00627BF0">
              <w:rPr>
                <w:rFonts w:asciiTheme="minorHAnsi" w:hAnsiTheme="minorHAnsi" w:cstheme="minorHAnsi"/>
                <w:bCs/>
                <w:lang w:val="fr-FR"/>
              </w:rPr>
              <w:t xml:space="preserve"> en Chefferie de </w:t>
            </w:r>
            <w:proofErr w:type="spellStart"/>
            <w:r w:rsidRPr="00627BF0">
              <w:rPr>
                <w:rFonts w:asciiTheme="minorHAnsi" w:hAnsiTheme="minorHAnsi" w:cstheme="minorHAnsi"/>
                <w:bCs/>
                <w:lang w:val="fr-FR"/>
              </w:rPr>
              <w:t>Bafuliiru</w:t>
            </w:r>
            <w:proofErr w:type="spellEnd"/>
          </w:p>
        </w:tc>
        <w:tc>
          <w:tcPr>
            <w:tcW w:w="1620" w:type="dxa"/>
          </w:tcPr>
          <w:p w:rsidR="001750B9" w:rsidRPr="00627BF0" w:rsidRDefault="005456DF" w:rsidP="00627BF0">
            <w:pPr>
              <w:spacing w:after="0"/>
              <w:jc w:val="right"/>
              <w:rPr>
                <w:rFonts w:asciiTheme="minorHAnsi" w:hAnsiTheme="minorHAnsi" w:cstheme="minorHAnsi"/>
                <w:b/>
                <w:bCs/>
              </w:rPr>
            </w:pPr>
            <w:r>
              <w:rPr>
                <w:rFonts w:asciiTheme="minorHAnsi" w:hAnsiTheme="minorHAnsi" w:cstheme="minorHAnsi"/>
                <w:b/>
                <w:bCs/>
              </w:rPr>
              <w:t>276</w:t>
            </w:r>
            <w:r w:rsidR="001750B9" w:rsidRPr="00627BF0">
              <w:rPr>
                <w:rFonts w:asciiTheme="minorHAnsi" w:hAnsiTheme="minorHAnsi" w:cstheme="minorHAnsi"/>
                <w:b/>
                <w:bCs/>
              </w:rPr>
              <w:t> 959,00</w:t>
            </w:r>
          </w:p>
        </w:tc>
        <w:tc>
          <w:tcPr>
            <w:tcW w:w="2610" w:type="dxa"/>
          </w:tcPr>
          <w:p w:rsidR="001750B9" w:rsidRPr="00627BF0" w:rsidRDefault="001750B9" w:rsidP="00627BF0">
            <w:pPr>
              <w:rPr>
                <w:rFonts w:asciiTheme="minorHAnsi" w:hAnsiTheme="minorHAnsi" w:cstheme="minorHAnsi"/>
                <w:b/>
              </w:rPr>
            </w:pPr>
            <w:r w:rsidRPr="00627BF0">
              <w:rPr>
                <w:rFonts w:asciiTheme="minorHAnsi" w:hAnsiTheme="minorHAnsi" w:cstheme="minorHAnsi"/>
                <w:b/>
                <w:bCs/>
              </w:rPr>
              <w:t>ZOA</w:t>
            </w:r>
          </w:p>
        </w:tc>
      </w:tr>
      <w:tr w:rsidR="001750B9" w:rsidRPr="00627BF0"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7</w:t>
            </w:r>
          </w:p>
        </w:tc>
        <w:tc>
          <w:tcPr>
            <w:tcW w:w="2776" w:type="dxa"/>
            <w:vAlign w:val="bottom"/>
          </w:tcPr>
          <w:p w:rsidR="001750B9" w:rsidRPr="00627BF0" w:rsidRDefault="001750B9" w:rsidP="00627BF0">
            <w:pPr>
              <w:rPr>
                <w:rFonts w:asciiTheme="minorHAnsi" w:hAnsiTheme="minorHAnsi" w:cstheme="minorHAnsi"/>
                <w:lang w:val="fr-FR"/>
              </w:rPr>
            </w:pPr>
            <w:r w:rsidRPr="00627BF0">
              <w:rPr>
                <w:rFonts w:asciiTheme="minorHAnsi" w:hAnsiTheme="minorHAnsi" w:cstheme="minorHAnsi"/>
                <w:lang w:val="fr-FR"/>
              </w:rPr>
              <w:t xml:space="preserve">Recherche pour le développement urbanisation en </w:t>
            </w:r>
            <w:r w:rsidRPr="00627BF0">
              <w:rPr>
                <w:rFonts w:asciiTheme="minorHAnsi" w:hAnsiTheme="minorHAnsi" w:cstheme="minorHAnsi"/>
                <w:lang w:val="fr-FR"/>
              </w:rPr>
              <w:lastRenderedPageBreak/>
              <w:t>Afrique/ACRC , cas de la ville de Bukavu</w:t>
            </w:r>
          </w:p>
        </w:tc>
        <w:tc>
          <w:tcPr>
            <w:tcW w:w="2970" w:type="dxa"/>
            <w:vAlign w:val="bottom"/>
          </w:tcPr>
          <w:p w:rsidR="001750B9" w:rsidRPr="00627BF0" w:rsidRDefault="001750B9" w:rsidP="00627BF0">
            <w:pPr>
              <w:tabs>
                <w:tab w:val="left" w:pos="1812"/>
              </w:tabs>
              <w:spacing w:after="0"/>
              <w:jc w:val="both"/>
              <w:rPr>
                <w:rFonts w:asciiTheme="minorHAnsi" w:hAnsiTheme="minorHAnsi" w:cstheme="minorHAnsi"/>
                <w:bCs/>
              </w:rPr>
            </w:pPr>
            <w:r w:rsidRPr="00627BF0">
              <w:rPr>
                <w:rFonts w:asciiTheme="minorHAnsi" w:hAnsiTheme="minorHAnsi" w:cstheme="minorHAnsi"/>
              </w:rPr>
              <w:lastRenderedPageBreak/>
              <w:t>Ville de Bukavu</w:t>
            </w:r>
          </w:p>
        </w:tc>
        <w:tc>
          <w:tcPr>
            <w:tcW w:w="1620" w:type="dxa"/>
          </w:tcPr>
          <w:p w:rsidR="001750B9" w:rsidRPr="00627BF0" w:rsidRDefault="001750B9" w:rsidP="00627BF0">
            <w:pPr>
              <w:tabs>
                <w:tab w:val="left" w:pos="1812"/>
              </w:tabs>
              <w:spacing w:after="0"/>
              <w:jc w:val="both"/>
              <w:rPr>
                <w:rFonts w:asciiTheme="minorHAnsi" w:hAnsiTheme="minorHAnsi" w:cstheme="minorHAnsi"/>
                <w:bCs/>
              </w:rPr>
            </w:pPr>
            <w:r w:rsidRPr="00627BF0">
              <w:rPr>
                <w:rFonts w:asciiTheme="minorHAnsi" w:hAnsiTheme="minorHAnsi" w:cstheme="minorHAnsi"/>
                <w:bCs/>
              </w:rPr>
              <w:t>46 939,97</w:t>
            </w:r>
          </w:p>
          <w:p w:rsidR="001750B9" w:rsidRPr="00627BF0" w:rsidRDefault="001750B9" w:rsidP="00627BF0">
            <w:pPr>
              <w:spacing w:after="0"/>
              <w:jc w:val="both"/>
              <w:rPr>
                <w:rFonts w:asciiTheme="minorHAnsi" w:hAnsiTheme="minorHAnsi" w:cstheme="minorHAnsi"/>
                <w:bCs/>
              </w:rPr>
            </w:pPr>
          </w:p>
        </w:tc>
        <w:tc>
          <w:tcPr>
            <w:tcW w:w="2610" w:type="dxa"/>
          </w:tcPr>
          <w:p w:rsidR="001750B9" w:rsidRPr="00627BF0" w:rsidRDefault="001750B9" w:rsidP="00627BF0">
            <w:pPr>
              <w:jc w:val="both"/>
              <w:rPr>
                <w:rFonts w:asciiTheme="minorHAnsi" w:hAnsiTheme="minorHAnsi" w:cstheme="minorHAnsi"/>
                <w:bCs/>
              </w:rPr>
            </w:pPr>
            <w:r w:rsidRPr="00627BF0">
              <w:rPr>
                <w:rFonts w:asciiTheme="minorHAnsi" w:hAnsiTheme="minorHAnsi" w:cstheme="minorHAnsi"/>
              </w:rPr>
              <w:t>Manchester University</w:t>
            </w:r>
          </w:p>
        </w:tc>
      </w:tr>
      <w:tr w:rsidR="001750B9" w:rsidRPr="00627BF0"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8</w:t>
            </w:r>
          </w:p>
        </w:tc>
        <w:tc>
          <w:tcPr>
            <w:tcW w:w="2776" w:type="dxa"/>
            <w:vAlign w:val="bottom"/>
          </w:tcPr>
          <w:p w:rsidR="001750B9" w:rsidRPr="00627BF0" w:rsidRDefault="001750B9" w:rsidP="00627BF0">
            <w:pPr>
              <w:rPr>
                <w:rFonts w:asciiTheme="minorHAnsi" w:hAnsiTheme="minorHAnsi" w:cstheme="minorHAnsi"/>
                <w:lang w:val="fr-FR"/>
              </w:rPr>
            </w:pPr>
            <w:r w:rsidRPr="00627BF0">
              <w:rPr>
                <w:rFonts w:asciiTheme="minorHAnsi" w:hAnsiTheme="minorHAnsi" w:cstheme="minorHAnsi"/>
                <w:lang w:val="fr-FR"/>
              </w:rPr>
              <w:t xml:space="preserve">Engagement politique pour la stabilisation de la province du </w:t>
            </w:r>
            <w:proofErr w:type="spellStart"/>
            <w:r w:rsidRPr="00627BF0">
              <w:rPr>
                <w:rFonts w:asciiTheme="minorHAnsi" w:hAnsiTheme="minorHAnsi" w:cstheme="minorHAnsi"/>
                <w:lang w:val="fr-FR"/>
              </w:rPr>
              <w:t>Sud-KIVU</w:t>
            </w:r>
            <w:proofErr w:type="spellEnd"/>
          </w:p>
        </w:tc>
        <w:tc>
          <w:tcPr>
            <w:tcW w:w="2970" w:type="dxa"/>
            <w:vAlign w:val="bottom"/>
          </w:tcPr>
          <w:p w:rsidR="001750B9" w:rsidRPr="00627BF0" w:rsidRDefault="001750B9" w:rsidP="00627BF0">
            <w:pPr>
              <w:tabs>
                <w:tab w:val="left" w:pos="1812"/>
              </w:tabs>
              <w:spacing w:after="0"/>
              <w:jc w:val="both"/>
              <w:rPr>
                <w:rFonts w:asciiTheme="minorHAnsi" w:hAnsiTheme="minorHAnsi" w:cstheme="minorHAnsi"/>
              </w:rPr>
            </w:pPr>
            <w:proofErr w:type="spellStart"/>
            <w:r w:rsidRPr="00627BF0">
              <w:rPr>
                <w:rFonts w:asciiTheme="minorHAnsi" w:hAnsiTheme="minorHAnsi" w:cstheme="minorHAnsi"/>
              </w:rPr>
              <w:t>Uvira</w:t>
            </w:r>
            <w:proofErr w:type="spellEnd"/>
            <w:r w:rsidRPr="00627BF0">
              <w:rPr>
                <w:rFonts w:asciiTheme="minorHAnsi" w:hAnsiTheme="minorHAnsi" w:cstheme="minorHAnsi"/>
              </w:rPr>
              <w:t>, Bukavu et Kinshasa</w:t>
            </w:r>
          </w:p>
        </w:tc>
        <w:tc>
          <w:tcPr>
            <w:tcW w:w="1620" w:type="dxa"/>
          </w:tcPr>
          <w:p w:rsidR="001750B9" w:rsidRPr="00627BF0" w:rsidRDefault="001750B9" w:rsidP="00627BF0">
            <w:pPr>
              <w:tabs>
                <w:tab w:val="left" w:pos="1812"/>
              </w:tabs>
              <w:spacing w:after="0"/>
              <w:jc w:val="both"/>
              <w:rPr>
                <w:rFonts w:asciiTheme="minorHAnsi" w:hAnsiTheme="minorHAnsi" w:cstheme="minorHAnsi"/>
                <w:bCs/>
              </w:rPr>
            </w:pPr>
            <w:r w:rsidRPr="00627BF0">
              <w:rPr>
                <w:rFonts w:asciiTheme="minorHAnsi" w:hAnsiTheme="minorHAnsi" w:cstheme="minorHAnsi"/>
                <w:bCs/>
              </w:rPr>
              <w:t>41 803,44</w:t>
            </w:r>
          </w:p>
          <w:p w:rsidR="001750B9" w:rsidRPr="00627BF0" w:rsidRDefault="001750B9" w:rsidP="00627BF0">
            <w:pPr>
              <w:tabs>
                <w:tab w:val="left" w:pos="1812"/>
              </w:tabs>
              <w:spacing w:after="0"/>
              <w:jc w:val="both"/>
              <w:rPr>
                <w:rFonts w:asciiTheme="minorHAnsi" w:hAnsiTheme="minorHAnsi" w:cstheme="minorHAnsi"/>
                <w:bCs/>
              </w:rPr>
            </w:pPr>
          </w:p>
        </w:tc>
        <w:tc>
          <w:tcPr>
            <w:tcW w:w="2610" w:type="dxa"/>
          </w:tcPr>
          <w:p w:rsidR="001750B9" w:rsidRPr="00627BF0" w:rsidRDefault="001750B9" w:rsidP="00627BF0">
            <w:pPr>
              <w:jc w:val="both"/>
              <w:rPr>
                <w:rFonts w:asciiTheme="minorHAnsi" w:hAnsiTheme="minorHAnsi" w:cstheme="minorHAnsi"/>
              </w:rPr>
            </w:pPr>
            <w:r w:rsidRPr="00627BF0">
              <w:rPr>
                <w:rFonts w:asciiTheme="minorHAnsi" w:hAnsiTheme="minorHAnsi" w:cstheme="minorHAnsi"/>
                <w:bCs/>
              </w:rPr>
              <w:t>PNUD</w:t>
            </w:r>
          </w:p>
        </w:tc>
      </w:tr>
      <w:tr w:rsidR="001750B9" w:rsidRPr="00627BF0"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9</w:t>
            </w:r>
          </w:p>
        </w:tc>
        <w:tc>
          <w:tcPr>
            <w:tcW w:w="2776" w:type="dxa"/>
            <w:vAlign w:val="bottom"/>
          </w:tcPr>
          <w:p w:rsidR="001750B9" w:rsidRPr="00627BF0" w:rsidRDefault="001750B9" w:rsidP="00627BF0">
            <w:pPr>
              <w:rPr>
                <w:rFonts w:asciiTheme="minorHAnsi" w:hAnsiTheme="minorHAnsi" w:cstheme="minorHAnsi"/>
                <w:lang w:val="fr-FR"/>
              </w:rPr>
            </w:pPr>
            <w:r w:rsidRPr="00627BF0">
              <w:rPr>
                <w:rFonts w:asciiTheme="minorHAnsi" w:hAnsiTheme="minorHAnsi" w:cstheme="minorHAnsi"/>
                <w:lang w:val="fr-FR"/>
              </w:rPr>
              <w:t>Renforcement de la résilience des populations  transfrontalière RDC-Angola : OIM</w:t>
            </w:r>
          </w:p>
        </w:tc>
        <w:tc>
          <w:tcPr>
            <w:tcW w:w="2970" w:type="dxa"/>
            <w:vAlign w:val="bottom"/>
          </w:tcPr>
          <w:p w:rsidR="001750B9" w:rsidRPr="00627BF0" w:rsidRDefault="001750B9" w:rsidP="00627BF0">
            <w:pPr>
              <w:tabs>
                <w:tab w:val="left" w:pos="1812"/>
              </w:tabs>
              <w:spacing w:after="0"/>
              <w:jc w:val="both"/>
              <w:rPr>
                <w:rFonts w:asciiTheme="minorHAnsi" w:hAnsiTheme="minorHAnsi" w:cstheme="minorHAnsi"/>
              </w:rPr>
            </w:pPr>
            <w:proofErr w:type="spellStart"/>
            <w:r w:rsidRPr="00627BF0">
              <w:rPr>
                <w:rFonts w:asciiTheme="minorHAnsi" w:hAnsiTheme="minorHAnsi" w:cstheme="minorHAnsi"/>
                <w:bCs/>
              </w:rPr>
              <w:t>Tshikapa</w:t>
            </w:r>
            <w:proofErr w:type="spellEnd"/>
            <w:r w:rsidRPr="00627BF0">
              <w:rPr>
                <w:rFonts w:asciiTheme="minorHAnsi" w:hAnsiTheme="minorHAnsi" w:cstheme="minorHAnsi"/>
                <w:bCs/>
              </w:rPr>
              <w:t xml:space="preserve"> et </w:t>
            </w:r>
            <w:proofErr w:type="spellStart"/>
            <w:r w:rsidRPr="00627BF0">
              <w:rPr>
                <w:rFonts w:asciiTheme="minorHAnsi" w:hAnsiTheme="minorHAnsi" w:cstheme="minorHAnsi"/>
                <w:bCs/>
              </w:rPr>
              <w:t>Kamako</w:t>
            </w:r>
            <w:proofErr w:type="spellEnd"/>
            <w:r w:rsidRPr="00627BF0">
              <w:rPr>
                <w:rFonts w:asciiTheme="minorHAnsi" w:hAnsiTheme="minorHAnsi" w:cstheme="minorHAnsi"/>
                <w:bCs/>
              </w:rPr>
              <w:t xml:space="preserve"> </w:t>
            </w:r>
          </w:p>
        </w:tc>
        <w:tc>
          <w:tcPr>
            <w:tcW w:w="1620" w:type="dxa"/>
          </w:tcPr>
          <w:p w:rsidR="001750B9" w:rsidRPr="00627BF0" w:rsidRDefault="001750B9" w:rsidP="00627BF0">
            <w:pPr>
              <w:tabs>
                <w:tab w:val="left" w:pos="1812"/>
              </w:tabs>
              <w:spacing w:after="0"/>
              <w:jc w:val="both"/>
              <w:rPr>
                <w:rFonts w:asciiTheme="minorHAnsi" w:hAnsiTheme="minorHAnsi" w:cstheme="minorHAnsi"/>
                <w:bCs/>
              </w:rPr>
            </w:pPr>
            <w:r w:rsidRPr="00627BF0">
              <w:rPr>
                <w:rFonts w:asciiTheme="minorHAnsi" w:hAnsiTheme="minorHAnsi" w:cstheme="minorHAnsi"/>
                <w:bCs/>
              </w:rPr>
              <w:t>90 000,00</w:t>
            </w:r>
          </w:p>
        </w:tc>
        <w:tc>
          <w:tcPr>
            <w:tcW w:w="2610" w:type="dxa"/>
          </w:tcPr>
          <w:p w:rsidR="001750B9" w:rsidRPr="00627BF0" w:rsidRDefault="001750B9" w:rsidP="00627BF0">
            <w:pPr>
              <w:jc w:val="both"/>
              <w:rPr>
                <w:rFonts w:asciiTheme="minorHAnsi" w:hAnsiTheme="minorHAnsi" w:cstheme="minorHAnsi"/>
                <w:bCs/>
              </w:rPr>
            </w:pPr>
            <w:r w:rsidRPr="00627BF0">
              <w:rPr>
                <w:rFonts w:asciiTheme="minorHAnsi" w:hAnsiTheme="minorHAnsi" w:cstheme="minorHAnsi"/>
                <w:bCs/>
              </w:rPr>
              <w:t>OIM</w:t>
            </w:r>
          </w:p>
        </w:tc>
      </w:tr>
      <w:tr w:rsidR="001750B9" w:rsidRPr="00627BF0"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10</w:t>
            </w:r>
          </w:p>
        </w:tc>
        <w:tc>
          <w:tcPr>
            <w:tcW w:w="2776" w:type="dxa"/>
            <w:vAlign w:val="bottom"/>
          </w:tcPr>
          <w:p w:rsidR="001750B9" w:rsidRPr="00627BF0" w:rsidRDefault="001750B9" w:rsidP="00627BF0">
            <w:pPr>
              <w:rPr>
                <w:rFonts w:asciiTheme="minorHAnsi" w:hAnsiTheme="minorHAnsi" w:cstheme="minorHAnsi"/>
                <w:lang w:val="fr-FR"/>
              </w:rPr>
            </w:pPr>
            <w:r w:rsidRPr="00627BF0">
              <w:rPr>
                <w:rFonts w:asciiTheme="minorHAnsi" w:hAnsiTheme="minorHAnsi" w:cstheme="minorHAnsi"/>
                <w:lang w:val="fr-FR"/>
              </w:rPr>
              <w:t>Programme Service civile pour la consolidation de la Paix dans le grand lac </w:t>
            </w:r>
          </w:p>
        </w:tc>
        <w:tc>
          <w:tcPr>
            <w:tcW w:w="2970" w:type="dxa"/>
            <w:vAlign w:val="bottom"/>
          </w:tcPr>
          <w:p w:rsidR="001750B9" w:rsidRPr="00627BF0" w:rsidRDefault="001750B9" w:rsidP="005456DF">
            <w:pPr>
              <w:spacing w:after="0"/>
              <w:rPr>
                <w:rFonts w:asciiTheme="minorHAnsi" w:hAnsiTheme="minorHAnsi" w:cstheme="minorHAnsi"/>
              </w:rPr>
            </w:pPr>
            <w:r w:rsidRPr="00627BF0">
              <w:rPr>
                <w:rFonts w:asciiTheme="minorHAnsi" w:hAnsiTheme="minorHAnsi" w:cstheme="minorHAnsi"/>
              </w:rPr>
              <w:t>Goma et Bukavu</w:t>
            </w:r>
          </w:p>
        </w:tc>
        <w:tc>
          <w:tcPr>
            <w:tcW w:w="1620" w:type="dxa"/>
          </w:tcPr>
          <w:p w:rsidR="001750B9" w:rsidRPr="00627BF0" w:rsidRDefault="001750B9" w:rsidP="00627BF0">
            <w:pPr>
              <w:spacing w:after="0"/>
              <w:jc w:val="right"/>
              <w:rPr>
                <w:rFonts w:asciiTheme="minorHAnsi" w:hAnsiTheme="minorHAnsi" w:cstheme="minorHAnsi"/>
                <w:b/>
                <w:bCs/>
              </w:rPr>
            </w:pPr>
            <w:r w:rsidRPr="00627BF0">
              <w:rPr>
                <w:rFonts w:asciiTheme="minorHAnsi" w:hAnsiTheme="minorHAnsi" w:cstheme="minorHAnsi"/>
                <w:b/>
                <w:bCs/>
              </w:rPr>
              <w:t>55 371,14</w:t>
            </w:r>
          </w:p>
          <w:p w:rsidR="001750B9" w:rsidRPr="00627BF0" w:rsidRDefault="001750B9" w:rsidP="00627BF0">
            <w:pPr>
              <w:rPr>
                <w:rFonts w:asciiTheme="minorHAnsi" w:hAnsiTheme="minorHAnsi" w:cstheme="minorHAnsi"/>
              </w:rPr>
            </w:pPr>
          </w:p>
        </w:tc>
        <w:tc>
          <w:tcPr>
            <w:tcW w:w="2610" w:type="dxa"/>
          </w:tcPr>
          <w:p w:rsidR="001750B9" w:rsidRPr="00627BF0" w:rsidRDefault="001750B9" w:rsidP="00627BF0">
            <w:pPr>
              <w:rPr>
                <w:rFonts w:asciiTheme="minorHAnsi" w:hAnsiTheme="minorHAnsi" w:cstheme="minorHAnsi"/>
              </w:rPr>
            </w:pPr>
            <w:r w:rsidRPr="00627BF0">
              <w:rPr>
                <w:rFonts w:asciiTheme="minorHAnsi" w:hAnsiTheme="minorHAnsi" w:cstheme="minorHAnsi"/>
                <w:b/>
              </w:rPr>
              <w:t>GIZ SCP</w:t>
            </w:r>
          </w:p>
        </w:tc>
      </w:tr>
      <w:tr w:rsidR="000E1BB4" w:rsidRPr="000E1BB4" w:rsidTr="00C866C0">
        <w:trPr>
          <w:trHeight w:val="780"/>
        </w:trPr>
        <w:tc>
          <w:tcPr>
            <w:tcW w:w="597" w:type="dxa"/>
          </w:tcPr>
          <w:p w:rsidR="000E1BB4" w:rsidRDefault="000E1BB4" w:rsidP="00627BF0">
            <w:pPr>
              <w:rPr>
                <w:rFonts w:asciiTheme="minorHAnsi" w:hAnsiTheme="minorHAnsi" w:cstheme="minorHAnsi"/>
                <w:b/>
                <w:sz w:val="24"/>
                <w:szCs w:val="24"/>
                <w:lang w:val="fr-FR"/>
              </w:rPr>
            </w:pPr>
            <w:r>
              <w:rPr>
                <w:rFonts w:asciiTheme="minorHAnsi" w:hAnsiTheme="minorHAnsi" w:cstheme="minorHAnsi"/>
                <w:b/>
                <w:sz w:val="24"/>
                <w:szCs w:val="24"/>
                <w:lang w:val="fr-FR"/>
              </w:rPr>
              <w:t>11</w:t>
            </w:r>
          </w:p>
        </w:tc>
        <w:tc>
          <w:tcPr>
            <w:tcW w:w="2776" w:type="dxa"/>
            <w:vAlign w:val="bottom"/>
          </w:tcPr>
          <w:p w:rsidR="000E1BB4" w:rsidRPr="00627BF0" w:rsidRDefault="000E1BB4" w:rsidP="00627BF0">
            <w:pPr>
              <w:rPr>
                <w:rFonts w:asciiTheme="minorHAnsi" w:hAnsiTheme="minorHAnsi" w:cstheme="minorHAnsi"/>
                <w:lang w:val="fr-FR"/>
              </w:rPr>
            </w:pPr>
            <w:r w:rsidRPr="000E1BB4">
              <w:rPr>
                <w:rFonts w:asciiTheme="minorHAnsi" w:hAnsiTheme="minorHAnsi" w:cstheme="minorHAnsi"/>
                <w:lang w:val="fr-FR"/>
              </w:rPr>
              <w:t>Programme GAINS: Vers une agriculture, des revenus, sécurité alimentaire et nutritionnelle  durables</w:t>
            </w:r>
          </w:p>
        </w:tc>
        <w:tc>
          <w:tcPr>
            <w:tcW w:w="2970" w:type="dxa"/>
            <w:vAlign w:val="bottom"/>
          </w:tcPr>
          <w:p w:rsidR="000E1BB4" w:rsidRPr="000E1BB4" w:rsidRDefault="000E1BB4" w:rsidP="000E1BB4">
            <w:pPr>
              <w:spacing w:after="0"/>
              <w:rPr>
                <w:rFonts w:asciiTheme="minorHAnsi" w:hAnsiTheme="minorHAnsi" w:cstheme="minorHAnsi"/>
                <w:lang w:val="fr-FR"/>
              </w:rPr>
            </w:pPr>
            <w:r>
              <w:rPr>
                <w:rFonts w:asciiTheme="minorHAnsi" w:hAnsiTheme="minorHAnsi" w:cstheme="minorHAnsi"/>
                <w:lang w:val="fr-FR"/>
              </w:rPr>
              <w:t xml:space="preserve">Province du Kasaï </w:t>
            </w:r>
          </w:p>
        </w:tc>
        <w:tc>
          <w:tcPr>
            <w:tcW w:w="1620" w:type="dxa"/>
          </w:tcPr>
          <w:p w:rsidR="000E1BB4" w:rsidRDefault="000E1BB4" w:rsidP="000E1BB4">
            <w:pPr>
              <w:pStyle w:val="Default"/>
              <w:jc w:val="right"/>
            </w:pPr>
            <w:r>
              <w:rPr>
                <w:b/>
                <w:bCs/>
                <w:sz w:val="22"/>
                <w:szCs w:val="22"/>
              </w:rPr>
              <w:t xml:space="preserve">786,785 </w:t>
            </w:r>
          </w:p>
          <w:p w:rsidR="000E1BB4" w:rsidRPr="000E1BB4" w:rsidRDefault="000E1BB4" w:rsidP="00627BF0">
            <w:pPr>
              <w:spacing w:after="0"/>
              <w:jc w:val="right"/>
              <w:rPr>
                <w:rFonts w:asciiTheme="minorHAnsi" w:hAnsiTheme="minorHAnsi" w:cstheme="minorHAnsi"/>
                <w:b/>
                <w:bCs/>
                <w:lang w:val="fr-FR"/>
              </w:rPr>
            </w:pPr>
          </w:p>
        </w:tc>
        <w:tc>
          <w:tcPr>
            <w:tcW w:w="2610" w:type="dxa"/>
          </w:tcPr>
          <w:p w:rsidR="000E1BB4" w:rsidRPr="000E1BB4" w:rsidRDefault="000E1BB4" w:rsidP="00627BF0">
            <w:pPr>
              <w:rPr>
                <w:rFonts w:asciiTheme="minorHAnsi" w:hAnsiTheme="minorHAnsi" w:cstheme="minorHAnsi"/>
                <w:b/>
                <w:lang w:val="fr-FR"/>
              </w:rPr>
            </w:pPr>
            <w:r>
              <w:rPr>
                <w:rFonts w:asciiTheme="minorHAnsi" w:hAnsiTheme="minorHAnsi" w:cstheme="minorHAnsi"/>
                <w:b/>
                <w:lang w:val="fr-FR"/>
              </w:rPr>
              <w:t>Mercy Corps sous Financement de l’ UAID</w:t>
            </w:r>
          </w:p>
        </w:tc>
      </w:tr>
    </w:tbl>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spacing w:after="0"/>
        <w:jc w:val="both"/>
        <w:rPr>
          <w:rFonts w:asciiTheme="minorHAnsi" w:hAnsiTheme="minorHAnsi" w:cstheme="minorHAnsi"/>
          <w:b/>
          <w:lang w:val="fr-FR"/>
        </w:rPr>
      </w:pPr>
      <w:r w:rsidRPr="00627BF0">
        <w:rPr>
          <w:rFonts w:asciiTheme="minorHAnsi" w:hAnsiTheme="minorHAnsi" w:cstheme="minorHAnsi"/>
          <w:b/>
          <w:lang w:val="fr-FR"/>
        </w:rPr>
        <w:t>9. Contacts</w:t>
      </w:r>
      <w:r w:rsidRPr="00627BF0">
        <w:rPr>
          <w:rFonts w:asciiTheme="minorHAnsi" w:hAnsiTheme="minorHAnsi" w:cstheme="minorHAnsi"/>
          <w:lang w:val="fr-FR"/>
        </w:rPr>
        <w:t xml:space="preserve"> : </w:t>
      </w:r>
      <w:proofErr w:type="spellStart"/>
      <w:r w:rsidRPr="00627BF0">
        <w:rPr>
          <w:rFonts w:asciiTheme="minorHAnsi" w:hAnsiTheme="minorHAnsi" w:cstheme="minorHAnsi"/>
          <w:b/>
          <w:lang w:val="fr-FR"/>
        </w:rPr>
        <w:t>Buuma</w:t>
      </w:r>
      <w:proofErr w:type="spellEnd"/>
      <w:r w:rsidRPr="00627BF0">
        <w:rPr>
          <w:rFonts w:asciiTheme="minorHAnsi" w:hAnsiTheme="minorHAnsi" w:cstheme="minorHAnsi"/>
          <w:b/>
          <w:lang w:val="fr-FR"/>
        </w:rPr>
        <w:t xml:space="preserve"> </w:t>
      </w:r>
      <w:proofErr w:type="spellStart"/>
      <w:r w:rsidRPr="00627BF0">
        <w:rPr>
          <w:rFonts w:asciiTheme="minorHAnsi" w:hAnsiTheme="minorHAnsi" w:cstheme="minorHAnsi"/>
          <w:b/>
          <w:lang w:val="fr-FR"/>
        </w:rPr>
        <w:t>Bitalya</w:t>
      </w:r>
      <w:proofErr w:type="spellEnd"/>
      <w:r w:rsidRPr="00627BF0">
        <w:rPr>
          <w:rFonts w:asciiTheme="minorHAnsi" w:hAnsiTheme="minorHAnsi" w:cstheme="minorHAnsi"/>
          <w:b/>
          <w:lang w:val="fr-FR"/>
        </w:rPr>
        <w:t xml:space="preserve"> </w:t>
      </w:r>
      <w:proofErr w:type="spellStart"/>
      <w:r w:rsidRPr="00627BF0">
        <w:rPr>
          <w:rFonts w:asciiTheme="minorHAnsi" w:hAnsiTheme="minorHAnsi" w:cstheme="minorHAnsi"/>
          <w:b/>
          <w:lang w:val="fr-FR"/>
        </w:rPr>
        <w:t>wa</w:t>
      </w:r>
      <w:proofErr w:type="spellEnd"/>
      <w:r w:rsidRPr="00627BF0">
        <w:rPr>
          <w:rFonts w:asciiTheme="minorHAnsi" w:hAnsiTheme="minorHAnsi" w:cstheme="minorHAnsi"/>
          <w:b/>
          <w:lang w:val="fr-FR"/>
        </w:rPr>
        <w:t xml:space="preserve"> </w:t>
      </w:r>
      <w:proofErr w:type="spellStart"/>
      <w:r w:rsidRPr="00627BF0">
        <w:rPr>
          <w:rFonts w:asciiTheme="minorHAnsi" w:hAnsiTheme="minorHAnsi" w:cstheme="minorHAnsi"/>
          <w:b/>
          <w:lang w:val="fr-FR"/>
        </w:rPr>
        <w:t>Namira</w:t>
      </w:r>
      <w:proofErr w:type="spellEnd"/>
      <w:r w:rsidRPr="00627BF0">
        <w:rPr>
          <w:rFonts w:asciiTheme="minorHAnsi" w:hAnsiTheme="minorHAnsi" w:cstheme="minorHAnsi"/>
          <w:b/>
          <w:lang w:val="fr-FR"/>
        </w:rPr>
        <w:t xml:space="preserve"> </w:t>
      </w:r>
      <w:proofErr w:type="spellStart"/>
      <w:r w:rsidRPr="00627BF0">
        <w:rPr>
          <w:rFonts w:asciiTheme="minorHAnsi" w:hAnsiTheme="minorHAnsi" w:cstheme="minorHAnsi"/>
          <w:b/>
          <w:lang w:val="fr-FR"/>
        </w:rPr>
        <w:t>Déogratias</w:t>
      </w:r>
      <w:proofErr w:type="spellEnd"/>
      <w:r w:rsidRPr="00627BF0">
        <w:rPr>
          <w:rFonts w:asciiTheme="minorHAnsi" w:hAnsiTheme="minorHAnsi" w:cstheme="minorHAnsi"/>
          <w:b/>
          <w:lang w:val="fr-FR"/>
        </w:rPr>
        <w:t>, Directeur Exécutif APC</w:t>
      </w:r>
    </w:p>
    <w:p w:rsidR="001750B9" w:rsidRPr="00627BF0" w:rsidRDefault="007847A3" w:rsidP="00627BF0">
      <w:pPr>
        <w:spacing w:after="0"/>
        <w:jc w:val="both"/>
        <w:rPr>
          <w:rFonts w:asciiTheme="minorHAnsi" w:hAnsiTheme="minorHAnsi" w:cstheme="minorHAnsi"/>
          <w:lang w:val="fr-FR"/>
        </w:rPr>
      </w:pPr>
      <w:hyperlink r:id="rId9" w:history="1">
        <w:r w:rsidR="001750B9" w:rsidRPr="00627BF0">
          <w:rPr>
            <w:rStyle w:val="Hyperlink"/>
            <w:rFonts w:asciiTheme="minorHAnsi" w:hAnsiTheme="minorHAnsi" w:cstheme="minorHAnsi"/>
            <w:b/>
            <w:lang w:val="fr-FR"/>
          </w:rPr>
          <w:t>apcasbl@gmail.com</w:t>
        </w:r>
      </w:hyperlink>
      <w:r w:rsidR="001750B9" w:rsidRPr="00627BF0">
        <w:rPr>
          <w:rFonts w:asciiTheme="minorHAnsi" w:hAnsiTheme="minorHAnsi" w:cstheme="minorHAnsi"/>
          <w:b/>
          <w:lang w:val="fr-FR"/>
        </w:rPr>
        <w:t xml:space="preserve"> ; </w:t>
      </w:r>
      <w:hyperlink r:id="rId10" w:history="1">
        <w:r w:rsidR="001750B9" w:rsidRPr="00627BF0">
          <w:rPr>
            <w:rStyle w:val="Hyperlink"/>
            <w:rFonts w:asciiTheme="minorHAnsi" w:hAnsiTheme="minorHAnsi" w:cstheme="minorHAnsi"/>
            <w:b/>
            <w:lang w:val="fr-FR"/>
          </w:rPr>
          <w:t>deobuuma@apcasbl.org</w:t>
        </w:r>
      </w:hyperlink>
      <w:r w:rsidR="001750B9" w:rsidRPr="00627BF0">
        <w:rPr>
          <w:rFonts w:asciiTheme="minorHAnsi" w:hAnsiTheme="minorHAnsi" w:cstheme="minorHAnsi"/>
          <w:lang w:val="fr-FR"/>
        </w:rPr>
        <w:t xml:space="preserve"> </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lang w:val="fr-FR"/>
        </w:rPr>
        <w:t xml:space="preserve">Secrétariat: </w:t>
      </w:r>
      <w:r w:rsidRPr="00627BF0">
        <w:rPr>
          <w:rFonts w:asciiTheme="minorHAnsi" w:hAnsiTheme="minorHAnsi" w:cstheme="minorHAnsi"/>
          <w:b/>
          <w:lang w:val="fr-FR"/>
        </w:rPr>
        <w:t>+243 821748032</w:t>
      </w:r>
      <w:r w:rsidRPr="00627BF0">
        <w:rPr>
          <w:rFonts w:asciiTheme="minorHAnsi" w:hAnsiTheme="minorHAnsi" w:cstheme="minorHAnsi"/>
          <w:lang w:val="fr-FR"/>
        </w:rPr>
        <w:t xml:space="preserve">/ Secrétaire Exécutif: </w:t>
      </w:r>
      <w:r w:rsidRPr="00627BF0">
        <w:rPr>
          <w:rFonts w:asciiTheme="minorHAnsi" w:hAnsiTheme="minorHAnsi" w:cstheme="minorHAnsi"/>
          <w:b/>
          <w:lang w:val="fr-FR"/>
        </w:rPr>
        <w:t>+243812220172 ET +243 997622339</w:t>
      </w:r>
    </w:p>
    <w:p w:rsidR="001750B9" w:rsidRPr="00627BF0" w:rsidRDefault="001750B9" w:rsidP="00627BF0">
      <w:pPr>
        <w:spacing w:after="0"/>
        <w:jc w:val="both"/>
        <w:rPr>
          <w:rFonts w:asciiTheme="minorHAnsi" w:hAnsiTheme="minorHAnsi" w:cstheme="minorHAnsi"/>
          <w:b/>
          <w:lang w:val="fr-FR"/>
        </w:rPr>
      </w:pPr>
      <w:r w:rsidRPr="00627BF0">
        <w:rPr>
          <w:rFonts w:asciiTheme="minorHAnsi" w:hAnsiTheme="minorHAnsi" w:cstheme="minorHAnsi"/>
          <w:b/>
          <w:lang w:val="fr-FR"/>
        </w:rPr>
        <w:t xml:space="preserve">Directeur de Programme: Sosthène Maliyaseme: </w:t>
      </w:r>
      <w:hyperlink r:id="rId11" w:history="1">
        <w:r w:rsidRPr="00627BF0">
          <w:rPr>
            <w:rStyle w:val="Hyperlink"/>
            <w:rFonts w:asciiTheme="minorHAnsi" w:hAnsiTheme="minorHAnsi" w:cstheme="minorHAnsi"/>
            <w:b/>
            <w:lang w:val="fr-FR"/>
          </w:rPr>
          <w:t>sosthenemali@apcasbl.org</w:t>
        </w:r>
      </w:hyperlink>
      <w:r w:rsidRPr="00627BF0">
        <w:rPr>
          <w:rFonts w:asciiTheme="minorHAnsi" w:hAnsiTheme="minorHAnsi" w:cstheme="minorHAnsi"/>
          <w:b/>
          <w:lang w:val="fr-FR"/>
        </w:rPr>
        <w:t xml:space="preserve"> </w:t>
      </w:r>
    </w:p>
    <w:p w:rsidR="001750B9" w:rsidRPr="00627BF0" w:rsidRDefault="001750B9" w:rsidP="00627BF0">
      <w:pPr>
        <w:spacing w:after="0"/>
        <w:jc w:val="both"/>
        <w:rPr>
          <w:rFonts w:asciiTheme="minorHAnsi" w:hAnsiTheme="minorHAnsi" w:cstheme="minorHAnsi"/>
          <w:b/>
          <w:lang w:val="fr-FR"/>
        </w:rPr>
      </w:pPr>
      <w:r w:rsidRPr="00627BF0">
        <w:rPr>
          <w:rFonts w:asciiTheme="minorHAnsi" w:hAnsiTheme="minorHAnsi" w:cstheme="minorHAnsi"/>
          <w:b/>
          <w:lang w:val="fr-FR"/>
        </w:rPr>
        <w:t>+243993718961 et +243 815282881</w:t>
      </w:r>
    </w:p>
    <w:p w:rsidR="00C61E48" w:rsidRPr="00627BF0" w:rsidRDefault="00C61E48" w:rsidP="00627BF0">
      <w:pPr>
        <w:rPr>
          <w:rFonts w:asciiTheme="minorHAnsi" w:hAnsiTheme="minorHAnsi" w:cstheme="minorHAnsi"/>
        </w:rPr>
      </w:pPr>
    </w:p>
    <w:sectPr w:rsidR="00C61E48" w:rsidRPr="00627BF0" w:rsidSect="009B4F2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7A3" w:rsidRDefault="007847A3">
      <w:pPr>
        <w:spacing w:after="0" w:line="240" w:lineRule="auto"/>
      </w:pPr>
      <w:r>
        <w:separator/>
      </w:r>
    </w:p>
  </w:endnote>
  <w:endnote w:type="continuationSeparator" w:id="0">
    <w:p w:rsidR="007847A3" w:rsidRDefault="00784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7A3" w:rsidRDefault="007847A3">
      <w:pPr>
        <w:spacing w:after="0" w:line="240" w:lineRule="auto"/>
      </w:pPr>
      <w:r>
        <w:separator/>
      </w:r>
    </w:p>
  </w:footnote>
  <w:footnote w:type="continuationSeparator" w:id="0">
    <w:p w:rsidR="007847A3" w:rsidRDefault="00784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1" w:rsidRDefault="00627BF0">
    <w:pPr>
      <w:pStyle w:val="Header"/>
      <w:jc w:val="center"/>
    </w:pPr>
    <w:r>
      <w:fldChar w:fldCharType="begin"/>
    </w:r>
    <w:r>
      <w:instrText xml:space="preserve"> PAGE   \* MERGEFORMAT </w:instrText>
    </w:r>
    <w:r>
      <w:fldChar w:fldCharType="separate"/>
    </w:r>
    <w:r w:rsidR="008A1C99">
      <w:rPr>
        <w:noProof/>
      </w:rPr>
      <w:t>6</w:t>
    </w:r>
    <w:r>
      <w:rPr>
        <w:noProof/>
      </w:rPr>
      <w:fldChar w:fldCharType="end"/>
    </w:r>
  </w:p>
  <w:p w:rsidR="001A2D01" w:rsidRDefault="0078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7354F91E"/>
    <w:lvl w:ilvl="0" w:tplc="04090005">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1E0D0CF8"/>
    <w:multiLevelType w:val="hybridMultilevel"/>
    <w:tmpl w:val="4156F0B0"/>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04568"/>
    <w:multiLevelType w:val="multilevel"/>
    <w:tmpl w:val="C9B0EE06"/>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3" w15:restartNumberingAfterBreak="0">
    <w:nsid w:val="7ED7416A"/>
    <w:multiLevelType w:val="multilevel"/>
    <w:tmpl w:val="853A6E20"/>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B9"/>
    <w:rsid w:val="000E1BB4"/>
    <w:rsid w:val="001750B9"/>
    <w:rsid w:val="00196EA9"/>
    <w:rsid w:val="001D36AE"/>
    <w:rsid w:val="00422FB7"/>
    <w:rsid w:val="004518B4"/>
    <w:rsid w:val="004736D7"/>
    <w:rsid w:val="00485A01"/>
    <w:rsid w:val="005456DF"/>
    <w:rsid w:val="00601399"/>
    <w:rsid w:val="006066BD"/>
    <w:rsid w:val="00627BF0"/>
    <w:rsid w:val="006D50EC"/>
    <w:rsid w:val="007847A3"/>
    <w:rsid w:val="008A1C99"/>
    <w:rsid w:val="00990DF2"/>
    <w:rsid w:val="00AE1DA0"/>
    <w:rsid w:val="00B848C7"/>
    <w:rsid w:val="00C33978"/>
    <w:rsid w:val="00C61E48"/>
    <w:rsid w:val="00C866C0"/>
    <w:rsid w:val="00D94668"/>
    <w:rsid w:val="00F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9C62"/>
  <w15:chartTrackingRefBased/>
  <w15:docId w15:val="{59C7AA63-48DD-4E78-A434-5B55878E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0B9"/>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50B9"/>
    <w:rPr>
      <w:color w:val="0000FF"/>
      <w:u w:val="single"/>
    </w:rPr>
  </w:style>
  <w:style w:type="character" w:customStyle="1" w:styleId="hps">
    <w:name w:val="hps"/>
    <w:rsid w:val="001750B9"/>
  </w:style>
  <w:style w:type="paragraph" w:customStyle="1" w:styleId="7NormalMDM">
    <w:name w:val="7 Normal MDM"/>
    <w:basedOn w:val="Normal"/>
    <w:rsid w:val="001750B9"/>
    <w:pPr>
      <w:spacing w:after="0" w:line="240" w:lineRule="auto"/>
      <w:jc w:val="both"/>
    </w:pPr>
    <w:rPr>
      <w:rFonts w:ascii="Arial" w:eastAsia="Times New Roman" w:hAnsi="Arial"/>
      <w:color w:val="000000"/>
      <w:sz w:val="20"/>
      <w:szCs w:val="24"/>
      <w:lang w:val="fr-FR" w:eastAsia="fr-FR"/>
    </w:rPr>
  </w:style>
  <w:style w:type="paragraph" w:styleId="Header">
    <w:name w:val="header"/>
    <w:basedOn w:val="Normal"/>
    <w:link w:val="HeaderChar"/>
    <w:uiPriority w:val="99"/>
    <w:unhideWhenUsed/>
    <w:rsid w:val="001750B9"/>
    <w:pPr>
      <w:tabs>
        <w:tab w:val="center" w:pos="4536"/>
        <w:tab w:val="right" w:pos="9072"/>
      </w:tabs>
    </w:pPr>
  </w:style>
  <w:style w:type="character" w:customStyle="1" w:styleId="HeaderChar">
    <w:name w:val="Header Char"/>
    <w:basedOn w:val="DefaultParagraphFont"/>
    <w:link w:val="Header"/>
    <w:uiPriority w:val="99"/>
    <w:rsid w:val="001750B9"/>
    <w:rPr>
      <w:rFonts w:ascii="Calibri" w:eastAsia="Calibri" w:hAnsi="Calibri" w:cs="Times New Roman"/>
    </w:rPr>
  </w:style>
  <w:style w:type="paragraph" w:styleId="CommentText">
    <w:name w:val="annotation text"/>
    <w:basedOn w:val="Normal"/>
    <w:link w:val="CommentTextChar"/>
    <w:uiPriority w:val="99"/>
    <w:unhideWhenUsed/>
    <w:rsid w:val="001750B9"/>
    <w:rPr>
      <w:sz w:val="20"/>
      <w:szCs w:val="20"/>
    </w:rPr>
  </w:style>
  <w:style w:type="character" w:customStyle="1" w:styleId="CommentTextChar">
    <w:name w:val="Comment Text Char"/>
    <w:basedOn w:val="DefaultParagraphFont"/>
    <w:link w:val="CommentText"/>
    <w:uiPriority w:val="99"/>
    <w:rsid w:val="001750B9"/>
    <w:rPr>
      <w:rFonts w:ascii="Calibri" w:eastAsia="Calibri" w:hAnsi="Calibri" w:cs="Times New Roman"/>
      <w:sz w:val="20"/>
      <w:szCs w:val="20"/>
    </w:rPr>
  </w:style>
  <w:style w:type="paragraph" w:styleId="ListParagraph">
    <w:name w:val="List Paragraph"/>
    <w:aliases w:val="References,List Paragraph1,Titre 7 Car1,Paragraphe de liste Car Car,Titre 7 Car1 Car Car,Paragraphe de liste Car Car Car Car,Titre 7 Car1 Car Car Car Car,Paragraphe de liste Car Car Car Car Car Car,Normal11,Normal2,Normal3,Normal4,L"/>
    <w:basedOn w:val="Normal"/>
    <w:link w:val="ListParagraphChar"/>
    <w:uiPriority w:val="34"/>
    <w:qFormat/>
    <w:rsid w:val="00485A01"/>
    <w:pPr>
      <w:spacing w:line="240" w:lineRule="auto"/>
      <w:ind w:left="720"/>
      <w:contextualSpacing/>
    </w:pPr>
    <w:rPr>
      <w:rFonts w:ascii="Cambria" w:eastAsia="Cambria" w:hAnsi="Cambria"/>
      <w:sz w:val="24"/>
      <w:szCs w:val="24"/>
      <w:lang w:val="fr-FR"/>
    </w:rPr>
  </w:style>
  <w:style w:type="character" w:customStyle="1" w:styleId="ListParagraphChar">
    <w:name w:val="List Paragraph Char"/>
    <w:aliases w:val="References Char,List Paragraph1 Char,Titre 7 Car1 Char,Paragraphe de liste Car Car Char,Titre 7 Car1 Car Car Char,Paragraphe de liste Car Car Car Car Char,Titre 7 Car1 Car Car Car Car Char,Normal11 Char,Normal2 Char,Normal3 Char"/>
    <w:link w:val="ListParagraph"/>
    <w:uiPriority w:val="34"/>
    <w:qFormat/>
    <w:rsid w:val="00485A01"/>
    <w:rPr>
      <w:rFonts w:ascii="Cambria" w:eastAsia="Cambria" w:hAnsi="Cambria" w:cs="Times New Roman"/>
      <w:sz w:val="24"/>
      <w:szCs w:val="24"/>
      <w:lang w:val="fr-FR"/>
    </w:rPr>
  </w:style>
  <w:style w:type="paragraph" w:customStyle="1" w:styleId="Default">
    <w:name w:val="Default"/>
    <w:rsid w:val="000E1B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54948.C8ACF9F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sthenemali@apcasbl.org" TargetMode="External"/><Relationship Id="rId5" Type="http://schemas.openxmlformats.org/officeDocument/2006/relationships/footnotes" Target="footnotes.xml"/><Relationship Id="rId10" Type="http://schemas.openxmlformats.org/officeDocument/2006/relationships/hyperlink" Target="mailto:deobuuma@apcasbl.org" TargetMode="External"/><Relationship Id="rId4" Type="http://schemas.openxmlformats.org/officeDocument/2006/relationships/webSettings" Target="webSettings.xml"/><Relationship Id="rId9" Type="http://schemas.openxmlformats.org/officeDocument/2006/relationships/hyperlink" Target="mailto:apcasb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2024-06-21T10:09:00Z</dcterms:created>
  <dcterms:modified xsi:type="dcterms:W3CDTF">2024-06-21T10:13:00Z</dcterms:modified>
</cp:coreProperties>
</file>